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7642D2AB"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w:t>
      </w:r>
      <w:r w:rsidR="00DB1182">
        <w:rPr>
          <w:rFonts w:cs="Arial"/>
          <w:b/>
          <w:bCs/>
          <w:lang w:val="en-US" w:eastAsia="en-US"/>
        </w:rPr>
        <w:t>3</w:t>
      </w:r>
      <w:r w:rsidR="00022E5A">
        <w:rPr>
          <w:rFonts w:cs="Arial"/>
          <w:b/>
          <w:bCs/>
          <w:lang w:val="en-US" w:eastAsia="en-US"/>
        </w:rPr>
        <w:t>2</w:t>
      </w:r>
      <w:r w:rsidRPr="00127997">
        <w:rPr>
          <w:rFonts w:cs="Arial"/>
          <w:b/>
          <w:bCs/>
          <w:lang w:val="en-US" w:eastAsia="en-US"/>
        </w:rPr>
        <w:tab/>
        <w:t xml:space="preserve">                                          </w:t>
      </w:r>
      <w:r w:rsidR="00D23108" w:rsidRPr="00D23108">
        <w:rPr>
          <w:rFonts w:cs="Arial"/>
          <w:b/>
          <w:bCs/>
          <w:lang w:val="en-US" w:eastAsia="en-US"/>
        </w:rPr>
        <w:t>R2-</w:t>
      </w:r>
      <w:r w:rsidR="00F100C9" w:rsidRPr="00F100C9">
        <w:rPr>
          <w:rFonts w:cs="Arial"/>
          <w:b/>
          <w:bCs/>
          <w:lang w:val="en-US" w:eastAsia="en-US"/>
        </w:rPr>
        <w:t>250</w:t>
      </w:r>
      <w:r w:rsidR="00022E5A">
        <w:rPr>
          <w:rFonts w:cs="Arial"/>
          <w:b/>
          <w:bCs/>
          <w:lang w:val="en-US" w:eastAsia="en-US"/>
        </w:rPr>
        <w:t>8057</w:t>
      </w:r>
    </w:p>
    <w:p w14:paraId="27CAEAD4" w14:textId="54E68D96" w:rsidR="00D92427" w:rsidRPr="00127997" w:rsidRDefault="00022E5A" w:rsidP="0059582A">
      <w:pPr>
        <w:tabs>
          <w:tab w:val="left" w:pos="1979"/>
        </w:tabs>
        <w:spacing w:after="180" w:line="240" w:lineRule="auto"/>
        <w:jc w:val="left"/>
        <w:rPr>
          <w:rFonts w:cs="Arial"/>
          <w:b/>
          <w:bCs/>
          <w:lang w:val="en-US" w:eastAsia="en-US"/>
        </w:rPr>
      </w:pPr>
      <w:r>
        <w:rPr>
          <w:rFonts w:cs="Arial"/>
          <w:b/>
          <w:bCs/>
          <w:lang w:val="en-US"/>
        </w:rPr>
        <w:t>Dallas, USA</w:t>
      </w:r>
      <w:r w:rsidR="00322511">
        <w:rPr>
          <w:rFonts w:cs="Arial"/>
          <w:b/>
          <w:bCs/>
          <w:lang w:val="en-US" w:eastAsia="en-US"/>
        </w:rPr>
        <w:t>,</w:t>
      </w:r>
      <w:r w:rsidR="0059582A" w:rsidRPr="00127997">
        <w:rPr>
          <w:rFonts w:cs="Arial"/>
          <w:b/>
          <w:bCs/>
          <w:lang w:val="en-US" w:eastAsia="en-US"/>
        </w:rPr>
        <w:t xml:space="preserve"> </w:t>
      </w:r>
      <w:r>
        <w:rPr>
          <w:rFonts w:cs="Arial"/>
          <w:b/>
          <w:bCs/>
          <w:lang w:val="en-US" w:eastAsia="en-US"/>
        </w:rPr>
        <w:t>17</w:t>
      </w:r>
      <w:r w:rsidR="0059582A" w:rsidRPr="00127997">
        <w:rPr>
          <w:rFonts w:cs="Arial"/>
          <w:b/>
          <w:bCs/>
          <w:lang w:val="en-US" w:eastAsia="en-US"/>
        </w:rPr>
        <w:t xml:space="preserve"> – </w:t>
      </w:r>
      <w:r w:rsidR="00DF6D3D">
        <w:rPr>
          <w:rFonts w:cs="Arial"/>
          <w:b/>
          <w:bCs/>
          <w:lang w:val="en-US" w:eastAsia="en-US"/>
        </w:rPr>
        <w:t>2</w:t>
      </w:r>
      <w:r>
        <w:rPr>
          <w:rFonts w:cs="Arial"/>
          <w:b/>
          <w:bCs/>
          <w:lang w:val="en-US" w:eastAsia="en-US"/>
        </w:rPr>
        <w:t>1</w:t>
      </w:r>
      <w:r w:rsidR="0059582A" w:rsidRPr="00127997">
        <w:rPr>
          <w:rFonts w:cs="Arial"/>
          <w:b/>
          <w:bCs/>
          <w:lang w:val="en-US" w:eastAsia="en-US"/>
        </w:rPr>
        <w:t xml:space="preserve">, </w:t>
      </w:r>
      <w:r>
        <w:rPr>
          <w:rFonts w:cs="Arial"/>
          <w:b/>
          <w:bCs/>
          <w:lang w:val="en-US" w:eastAsia="en-US"/>
        </w:rPr>
        <w:t>Nov</w:t>
      </w:r>
      <w:r w:rsidR="00EB6D59">
        <w:rPr>
          <w:rFonts w:cs="Arial"/>
          <w:b/>
          <w:bCs/>
          <w:lang w:val="en-US" w:eastAsia="en-US"/>
        </w:rPr>
        <w:t xml:space="preserve">, </w:t>
      </w:r>
      <w:r w:rsidR="0059582A" w:rsidRPr="00127997">
        <w:rPr>
          <w:rFonts w:cs="Arial"/>
          <w:b/>
          <w:bCs/>
          <w:lang w:val="en-US" w:eastAsia="en-US"/>
        </w:rPr>
        <w:t>202</w:t>
      </w:r>
      <w:r w:rsidR="00322511">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01281FE1"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F100C9" w:rsidRPr="00F100C9">
        <w:rPr>
          <w:rFonts w:cs="Arial"/>
          <w:b/>
          <w:bCs/>
          <w:lang w:val="en-US"/>
        </w:rPr>
        <w:t xml:space="preserve">Discussion on </w:t>
      </w:r>
      <w:r w:rsidR="00022E5A">
        <w:rPr>
          <w:rFonts w:cs="Arial"/>
          <w:b/>
          <w:bCs/>
          <w:lang w:val="en-US"/>
        </w:rPr>
        <w:t>RRM prediction</w:t>
      </w:r>
    </w:p>
    <w:p w14:paraId="12450CE5" w14:textId="7CE395A6"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022E5A">
        <w:rPr>
          <w:rFonts w:cs="Arial"/>
          <w:b/>
          <w:bCs/>
          <w:lang w:val="en-US" w:eastAsia="en-US"/>
        </w:rPr>
        <w:t>9</w:t>
      </w:r>
      <w:r w:rsidR="00240434" w:rsidRPr="00127997">
        <w:rPr>
          <w:rFonts w:cs="Arial"/>
          <w:b/>
          <w:bCs/>
          <w:lang w:val="en-US"/>
        </w:rPr>
        <w:t>.3.</w:t>
      </w:r>
      <w:r w:rsidR="000F6DAD">
        <w:rPr>
          <w:rFonts w:cs="Arial"/>
          <w:b/>
          <w:bCs/>
          <w:lang w:val="en-US"/>
        </w:rPr>
        <w:t>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0" w:name="_Ref165266342"/>
      <w:r w:rsidRPr="00127997">
        <w:rPr>
          <w:rFonts w:ascii="Times New Roman" w:hAnsi="Times New Roman"/>
        </w:rPr>
        <w:t>Introduction</w:t>
      </w:r>
      <w:bookmarkEnd w:id="0"/>
    </w:p>
    <w:p w14:paraId="40477EAD" w14:textId="02A878A7" w:rsidR="005C20A1" w:rsidRPr="00127997" w:rsidRDefault="00F100C9" w:rsidP="00A3314C">
      <w:r>
        <w:t xml:space="preserve">In AI mobility, AI can be used to predict the RRM measurement result without actual measurement. </w:t>
      </w:r>
      <w:r w:rsidR="00504655">
        <w:t xml:space="preserve">In this discussion, we discuss </w:t>
      </w:r>
      <w:r w:rsidR="00406C6F">
        <w:t xml:space="preserve">the LCM and </w:t>
      </w:r>
      <w:r w:rsidR="00504655" w:rsidRPr="00504655">
        <w:t xml:space="preserve">inference </w:t>
      </w:r>
      <w:r w:rsidR="00EF7377">
        <w:t>solution</w:t>
      </w:r>
      <w:r w:rsidR="00504655" w:rsidRPr="00504655">
        <w:t xml:space="preserve"> for </w:t>
      </w:r>
      <w:r w:rsidR="00FC49D4">
        <w:t xml:space="preserve">UE sided model </w:t>
      </w:r>
      <w:r>
        <w:t>RRM prediction</w:t>
      </w:r>
      <w:r w:rsidR="00EF7377">
        <w:t>.</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408D8822" w14:textId="2E8A8996" w:rsidR="00931BD1" w:rsidRDefault="00D64208" w:rsidP="00931BD1">
      <w:pPr>
        <w:pStyle w:val="2"/>
        <w:rPr>
          <w:lang w:eastAsia="zh-CN"/>
        </w:rPr>
      </w:pPr>
      <w:r>
        <w:rPr>
          <w:lang w:eastAsia="zh-CN"/>
        </w:rPr>
        <w:t>Applicability report</w:t>
      </w:r>
    </w:p>
    <w:p w14:paraId="2FF1023C" w14:textId="34819D5A" w:rsidR="00931BD1" w:rsidRDefault="00931BD1" w:rsidP="00931BD1">
      <w:r>
        <w:rPr>
          <w:rFonts w:hint="eastAsia"/>
        </w:rPr>
        <w:t>I</w:t>
      </w:r>
      <w:r>
        <w:t xml:space="preserve">n RAN2#131 and RAN2#131b meeting, RAN2 discussed </w:t>
      </w:r>
      <w:r w:rsidR="007745E6">
        <w:t xml:space="preserve">LCM in </w:t>
      </w:r>
      <w:r>
        <w:t>AI air and reached following agreements,</w:t>
      </w:r>
    </w:p>
    <w:tbl>
      <w:tblPr>
        <w:tblStyle w:val="ac"/>
        <w:tblW w:w="0" w:type="auto"/>
        <w:tblLook w:val="04A0" w:firstRow="1" w:lastRow="0" w:firstColumn="1" w:lastColumn="0" w:noHBand="0" w:noVBand="1"/>
      </w:tblPr>
      <w:tblGrid>
        <w:gridCol w:w="9629"/>
      </w:tblGrid>
      <w:tr w:rsidR="00931BD1" w14:paraId="1FF2D001" w14:textId="77777777" w:rsidTr="00931BD1">
        <w:tc>
          <w:tcPr>
            <w:tcW w:w="9629" w:type="dxa"/>
          </w:tcPr>
          <w:p w14:paraId="68C4F499" w14:textId="77777777" w:rsidR="007745E6" w:rsidRDefault="007745E6" w:rsidP="007745E6">
            <w:r>
              <w:t>-</w:t>
            </w:r>
            <w:r>
              <w:tab/>
              <w:t>Associated IDs shall be unique within a PLMN in that they can only be associated with one same/similar mobility deployment.</w:t>
            </w:r>
          </w:p>
          <w:p w14:paraId="66E88AD0" w14:textId="77777777" w:rsidR="007745E6" w:rsidRDefault="007745E6" w:rsidP="007745E6">
            <w:r>
              <w:t>-</w:t>
            </w:r>
            <w:r>
              <w:tab/>
              <w:t>The Associated ID is 24 bits.</w:t>
            </w:r>
          </w:p>
          <w:p w14:paraId="022249B9" w14:textId="77777777" w:rsidR="007745E6" w:rsidRDefault="007745E6" w:rsidP="007745E6">
            <w:r>
              <w:t>-</w:t>
            </w:r>
            <w:r>
              <w:tab/>
              <w:t>If the network does not provide the associated ID, it is up to UE implementation how to determine the applicability.</w:t>
            </w:r>
          </w:p>
          <w:p w14:paraId="7872F0DB" w14:textId="77777777" w:rsidR="007745E6" w:rsidRDefault="007745E6" w:rsidP="007745E6">
            <w:r>
              <w:t>-</w:t>
            </w:r>
            <w:r>
              <w:tab/>
            </w:r>
            <w:proofErr w:type="spellStart"/>
            <w:r>
              <w:t>RRCReconfigurationComplete</w:t>
            </w:r>
            <w:proofErr w:type="spellEnd"/>
            <w:r>
              <w:t xml:space="preserve"> shall include applicability/inapplicability status for:</w:t>
            </w:r>
          </w:p>
          <w:p w14:paraId="6C8EF9AB" w14:textId="2053A2D1" w:rsidR="007745E6" w:rsidRDefault="007745E6" w:rsidP="007745E6">
            <w:r>
              <w:tab/>
              <w:t>a)</w:t>
            </w:r>
            <w:r>
              <w:tab/>
              <w:t xml:space="preserve">All inference configurations included in the immediately preceding </w:t>
            </w:r>
            <w:proofErr w:type="spellStart"/>
            <w:r>
              <w:t>RRCReconfiguration</w:t>
            </w:r>
            <w:proofErr w:type="spellEnd"/>
            <w:r>
              <w:t xml:space="preserve"> message, and</w:t>
            </w:r>
          </w:p>
          <w:p w14:paraId="440D0C7B" w14:textId="4EF29571" w:rsidR="007745E6" w:rsidRDefault="007745E6" w:rsidP="007745E6">
            <w:r>
              <w:tab/>
            </w:r>
            <w:r w:rsidRPr="007745E6">
              <w:rPr>
                <w:highlight w:val="yellow"/>
              </w:rPr>
              <w:t>b)</w:t>
            </w:r>
            <w:r w:rsidRPr="007745E6">
              <w:rPr>
                <w:highlight w:val="yellow"/>
              </w:rPr>
              <w:tab/>
              <w:t>Any previously configured inference configurations for which applicability/inapplicability has already been reported and whose applicability status has changed since the last report.</w:t>
            </w:r>
          </w:p>
          <w:p w14:paraId="20956FE8" w14:textId="43A4B229" w:rsidR="00931BD1" w:rsidRPr="007745E6" w:rsidRDefault="007745E6" w:rsidP="007745E6">
            <w:r>
              <w:t>-</w:t>
            </w:r>
            <w:r>
              <w:tab/>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tc>
      </w:tr>
    </w:tbl>
    <w:p w14:paraId="23CB1035" w14:textId="76546420" w:rsidR="00D64208" w:rsidRDefault="007745E6" w:rsidP="007745E6">
      <w:pPr>
        <w:spacing w:beforeLines="100" w:before="240"/>
      </w:pPr>
      <w:r>
        <w:rPr>
          <w:rFonts w:hint="eastAsia"/>
        </w:rPr>
        <w:t>I</w:t>
      </w:r>
      <w:r>
        <w:t>n general, it’s preferred to align with the AI air LCM framework</w:t>
      </w:r>
      <w:r w:rsidR="00D64208">
        <w:t xml:space="preserve"> due to following NOTE in WID [1]</w:t>
      </w:r>
      <w:r>
        <w:t xml:space="preserve">. </w:t>
      </w:r>
    </w:p>
    <w:tbl>
      <w:tblPr>
        <w:tblStyle w:val="ac"/>
        <w:tblW w:w="0" w:type="auto"/>
        <w:tblLook w:val="04A0" w:firstRow="1" w:lastRow="0" w:firstColumn="1" w:lastColumn="0" w:noHBand="0" w:noVBand="1"/>
      </w:tblPr>
      <w:tblGrid>
        <w:gridCol w:w="9629"/>
      </w:tblGrid>
      <w:tr w:rsidR="00D64208" w14:paraId="7AC8FC18" w14:textId="77777777" w:rsidTr="00D64208">
        <w:tc>
          <w:tcPr>
            <w:tcW w:w="9629" w:type="dxa"/>
          </w:tcPr>
          <w:p w14:paraId="2C41FE64" w14:textId="604B6D3D" w:rsidR="00D64208" w:rsidRPr="00D64208" w:rsidRDefault="00D64208" w:rsidP="007745E6">
            <w:pPr>
              <w:spacing w:beforeLines="100" w:before="240"/>
            </w:pPr>
            <w:r w:rsidRPr="00D64208">
              <w:t>Note5: The above objectives are to be based on the LCM framework for Rel-19 AI/ML for NR air interface WI as much as possible.</w:t>
            </w:r>
          </w:p>
        </w:tc>
      </w:tr>
    </w:tbl>
    <w:p w14:paraId="172D2D64" w14:textId="6ECAD146" w:rsidR="007745E6" w:rsidRDefault="007745E6" w:rsidP="007745E6">
      <w:pPr>
        <w:spacing w:beforeLines="100" w:before="240"/>
      </w:pPr>
      <w:r>
        <w:t xml:space="preserve">However, we understand the </w:t>
      </w:r>
      <w:r w:rsidR="00245A88">
        <w:t>case b)</w:t>
      </w:r>
      <w:r>
        <w:t xml:space="preserve"> </w:t>
      </w:r>
      <w:r w:rsidR="006045F8">
        <w:t xml:space="preserve">of applicability report in </w:t>
      </w:r>
      <w:proofErr w:type="spellStart"/>
      <w:r w:rsidR="006045F8" w:rsidRPr="006045F8">
        <w:rPr>
          <w:i/>
        </w:rPr>
        <w:t>RRCReconfigurationComplete</w:t>
      </w:r>
      <w:proofErr w:type="spellEnd"/>
      <w:r w:rsidR="006045F8">
        <w:t xml:space="preserve">, </w:t>
      </w:r>
      <w:r>
        <w:t>highlighted in yellow</w:t>
      </w:r>
      <w:r w:rsidR="006045F8">
        <w:t xml:space="preserve"> above, </w:t>
      </w:r>
      <w:r>
        <w:t>is not needed in AI mobility</w:t>
      </w:r>
      <w:r w:rsidR="00D64208">
        <w:t xml:space="preserve"> due to following consideration,</w:t>
      </w:r>
    </w:p>
    <w:p w14:paraId="02AC1B86" w14:textId="1BADE091" w:rsidR="00221DE8" w:rsidRDefault="00221DE8" w:rsidP="007745E6">
      <w:pPr>
        <w:spacing w:beforeLines="100" w:before="240"/>
      </w:pPr>
      <w:r>
        <w:rPr>
          <w:rFonts w:hint="eastAsia"/>
        </w:rPr>
        <w:lastRenderedPageBreak/>
        <w:t>F</w:t>
      </w:r>
      <w:r>
        <w:t>irst, the scenario</w:t>
      </w:r>
      <w:r w:rsidR="00245A88">
        <w:t xml:space="preserve"> of case b)</w:t>
      </w:r>
      <w:r>
        <w:t xml:space="preserve"> is limited, i.e. the applicability of previously configured inference configuration changes between reception of </w:t>
      </w:r>
      <w:proofErr w:type="spellStart"/>
      <w:r w:rsidRPr="00221DE8">
        <w:rPr>
          <w:i/>
        </w:rPr>
        <w:t>RRCReconfiguration</w:t>
      </w:r>
      <w:proofErr w:type="spellEnd"/>
      <w:r>
        <w:t xml:space="preserve"> and</w:t>
      </w:r>
      <w:r w:rsidR="00245A88">
        <w:t xml:space="preserve"> transmission of</w:t>
      </w:r>
      <w:r>
        <w:t xml:space="preserve"> </w:t>
      </w:r>
      <w:proofErr w:type="spellStart"/>
      <w:r w:rsidRPr="00221DE8">
        <w:rPr>
          <w:i/>
        </w:rPr>
        <w:t>RRCReconfigurationComplete</w:t>
      </w:r>
      <w:proofErr w:type="spellEnd"/>
      <w:r>
        <w:t>. Note</w:t>
      </w:r>
      <w:r w:rsidR="00245A88">
        <w:t xml:space="preserve"> </w:t>
      </w:r>
      <w:proofErr w:type="spellStart"/>
      <w:r w:rsidR="00245A88" w:rsidRPr="00245A88">
        <w:rPr>
          <w:i/>
        </w:rPr>
        <w:t>RRCReconfigurationComplete</w:t>
      </w:r>
      <w:proofErr w:type="spellEnd"/>
      <w:r w:rsidR="00245A88" w:rsidRPr="00245A88">
        <w:t xml:space="preserve"> containing applicability reports has a processing latency requirement of 16 </w:t>
      </w:r>
      <w:proofErr w:type="spellStart"/>
      <w:r w:rsidR="00245A88" w:rsidRPr="00245A88">
        <w:t>ms</w:t>
      </w:r>
      <w:proofErr w:type="spellEnd"/>
      <w:r w:rsidR="00245A88" w:rsidRPr="00245A88">
        <w:t xml:space="preserve"> with respect to the reception of </w:t>
      </w:r>
      <w:proofErr w:type="spellStart"/>
      <w:r w:rsidR="00245A88" w:rsidRPr="00245A88">
        <w:rPr>
          <w:i/>
        </w:rPr>
        <w:t>RRCReconfiguration</w:t>
      </w:r>
      <w:proofErr w:type="spellEnd"/>
      <w:r>
        <w:t>.</w:t>
      </w:r>
      <w:r w:rsidR="00245A88">
        <w:t xml:space="preserve"> The use case is not very common considering the frequency of RRC Reconfiguration should not be high.</w:t>
      </w:r>
    </w:p>
    <w:p w14:paraId="59C9F8CE" w14:textId="7650225C" w:rsidR="00245A88" w:rsidRDefault="00621981" w:rsidP="007745E6">
      <w:pPr>
        <w:spacing w:beforeLines="100" w:before="240"/>
      </w:pPr>
      <w:r>
        <w:t>Secondly</w:t>
      </w:r>
      <w:r w:rsidR="00245A88">
        <w:t xml:space="preserve">, </w:t>
      </w:r>
      <w:r w:rsidR="001F4C19">
        <w:t xml:space="preserve">it’s agreed UE can trigger UAI to update the functionality applicability. Even without the case b), nothing broken, since. Even if the applicability of previously configured inference configuration changes between reception of </w:t>
      </w:r>
      <w:proofErr w:type="spellStart"/>
      <w:r w:rsidR="001F4C19" w:rsidRPr="00221DE8">
        <w:rPr>
          <w:i/>
        </w:rPr>
        <w:t>RRCReconfiguration</w:t>
      </w:r>
      <w:proofErr w:type="spellEnd"/>
      <w:r w:rsidR="001F4C19">
        <w:t xml:space="preserve"> and transmission of </w:t>
      </w:r>
      <w:proofErr w:type="spellStart"/>
      <w:r w:rsidR="001F4C19" w:rsidRPr="00221DE8">
        <w:rPr>
          <w:i/>
        </w:rPr>
        <w:t>RRCReconfigurationComplete</w:t>
      </w:r>
      <w:proofErr w:type="spellEnd"/>
      <w:r w:rsidR="001F4C19">
        <w:t>,</w:t>
      </w:r>
      <w:r w:rsidR="001F4C19" w:rsidRPr="001F4C19">
        <w:t xml:space="preserve"> </w:t>
      </w:r>
      <w:r w:rsidR="001F4C19">
        <w:t xml:space="preserve">UE can always send UAI together with the </w:t>
      </w:r>
      <w:proofErr w:type="spellStart"/>
      <w:r w:rsidR="001F4C19" w:rsidRPr="00221DE8">
        <w:rPr>
          <w:i/>
        </w:rPr>
        <w:t>RRCReconfigurationComplete</w:t>
      </w:r>
      <w:proofErr w:type="spellEnd"/>
      <w:r w:rsidR="001F4C19">
        <w:rPr>
          <w:i/>
        </w:rPr>
        <w:t>.</w:t>
      </w:r>
      <w:r w:rsidR="001F4C19">
        <w:t xml:space="preserve"> There is not much additional overhead.</w:t>
      </w:r>
    </w:p>
    <w:p w14:paraId="4ED29A8C" w14:textId="6175EB6B" w:rsidR="00621981" w:rsidRPr="00621981" w:rsidRDefault="00621981" w:rsidP="007745E6">
      <w:pPr>
        <w:spacing w:beforeLines="100" w:before="240"/>
      </w:pPr>
      <w:r>
        <w:t xml:space="preserve">Last but not least, it’s not clear how to handle the applicable functionality in case b). For periodical CSI report, UE would activate the applicable functionality after reporting in case a). But it’s not concluded whether UE would activate the applicable functionality after reporting in case b). Some companies believe UE has to wait for the NW to send next </w:t>
      </w:r>
      <w:proofErr w:type="spellStart"/>
      <w:r w:rsidRPr="00245A88">
        <w:rPr>
          <w:i/>
        </w:rPr>
        <w:t>RRCReconfiguration</w:t>
      </w:r>
      <w:proofErr w:type="spellEnd"/>
      <w:r>
        <w:t xml:space="preserve"> message to activate, to avoid the activated functionalities exceeding maximum capability. Then, UE has to differentiate applicable functionalities in two cases, which adds complexity.</w:t>
      </w:r>
      <w:r w:rsidR="00D93582">
        <w:t xml:space="preserve"> We </w:t>
      </w:r>
      <w:r w:rsidR="00110F42">
        <w:t>shall</w:t>
      </w:r>
      <w:r w:rsidR="00D93582">
        <w:t xml:space="preserve"> wait for AI air conclusion on the UE behaviour</w:t>
      </w:r>
      <w:r w:rsidR="00110F42">
        <w:t xml:space="preserve"> in case b)</w:t>
      </w:r>
      <w:r w:rsidR="00D93582">
        <w:t>.</w:t>
      </w:r>
    </w:p>
    <w:p w14:paraId="1777449F" w14:textId="1955939D" w:rsidR="001F4C19" w:rsidRDefault="001F4C19" w:rsidP="007745E6">
      <w:pPr>
        <w:spacing w:beforeLines="100" w:before="240"/>
      </w:pPr>
      <w:r>
        <w:rPr>
          <w:rFonts w:hint="eastAsia"/>
        </w:rPr>
        <w:t>T</w:t>
      </w:r>
      <w:r>
        <w:t xml:space="preserve">herefore, we propose </w:t>
      </w:r>
      <w:proofErr w:type="spellStart"/>
      <w:r w:rsidRPr="001F4C19">
        <w:rPr>
          <w:i/>
        </w:rPr>
        <w:t>RRCReconfigurationComplete</w:t>
      </w:r>
      <w:proofErr w:type="spellEnd"/>
      <w:r>
        <w:t xml:space="preserve"> </w:t>
      </w:r>
      <w:r w:rsidR="00621981">
        <w:t>can</w:t>
      </w:r>
      <w:r>
        <w:t xml:space="preserve"> include applicability/inapplicability status for all inference configurations included in the immediately preceding </w:t>
      </w:r>
      <w:proofErr w:type="spellStart"/>
      <w:r>
        <w:t>RRCReconfiguration</w:t>
      </w:r>
      <w:proofErr w:type="spellEnd"/>
      <w:r>
        <w:t xml:space="preserve"> message. </w:t>
      </w:r>
      <w:r w:rsidR="00621981">
        <w:t>It’s FFS whether case b) is supported in AI mobility.</w:t>
      </w:r>
    </w:p>
    <w:p w14:paraId="3D5FCD9B" w14:textId="654141EE" w:rsidR="001F4C19" w:rsidRPr="001F4C19" w:rsidRDefault="001F4C19" w:rsidP="007745E6">
      <w:pPr>
        <w:spacing w:beforeLines="100" w:before="240"/>
      </w:pPr>
      <w:r>
        <w:t>The other agreements can be reused in AI mobility.</w:t>
      </w:r>
    </w:p>
    <w:p w14:paraId="212D7F2F" w14:textId="76158CBE" w:rsidR="001F4C19" w:rsidRPr="001F4C19" w:rsidRDefault="00221DE8" w:rsidP="00A33AAD">
      <w:pPr>
        <w:spacing w:beforeLines="100" w:before="240" w:line="240" w:lineRule="atLeast"/>
        <w:rPr>
          <w:b/>
        </w:rPr>
      </w:pPr>
      <w:r w:rsidRPr="001F4C19">
        <w:rPr>
          <w:rFonts w:hint="eastAsia"/>
          <w:b/>
        </w:rPr>
        <w:t>P</w:t>
      </w:r>
      <w:r w:rsidRPr="001F4C19">
        <w:rPr>
          <w:b/>
        </w:rPr>
        <w:t xml:space="preserve">roposal 1: </w:t>
      </w:r>
      <w:r w:rsidR="001F4C19" w:rsidRPr="001F4C19">
        <w:rPr>
          <w:b/>
        </w:rPr>
        <w:t>Apply following agreements from AI air for AI mobility</w:t>
      </w:r>
      <w:r w:rsidR="00296B8E">
        <w:rPr>
          <w:b/>
        </w:rPr>
        <w:t>, except case b)</w:t>
      </w:r>
      <w:r w:rsidR="001F4C19" w:rsidRPr="001F4C19">
        <w:rPr>
          <w:b/>
        </w:rPr>
        <w:t>,</w:t>
      </w:r>
    </w:p>
    <w:p w14:paraId="0CA12F76" w14:textId="77777777" w:rsidR="001F4C19" w:rsidRPr="001F4C19" w:rsidRDefault="001F4C19" w:rsidP="00A33AAD">
      <w:pPr>
        <w:spacing w:beforeLines="100" w:before="240" w:line="240" w:lineRule="atLeast"/>
        <w:ind w:left="420" w:hanging="420"/>
        <w:rPr>
          <w:b/>
        </w:rPr>
      </w:pPr>
      <w:r w:rsidRPr="001F4C19">
        <w:rPr>
          <w:b/>
        </w:rPr>
        <w:t>-</w:t>
      </w:r>
      <w:r w:rsidRPr="001F4C19">
        <w:rPr>
          <w:b/>
        </w:rPr>
        <w:tab/>
        <w:t>Associated IDs shall be unique within a PLMN in that they can only be associated with one same/similar mobility deployment.</w:t>
      </w:r>
    </w:p>
    <w:p w14:paraId="1EA68561" w14:textId="77777777" w:rsidR="001F4C19" w:rsidRPr="001F4C19" w:rsidRDefault="001F4C19" w:rsidP="00A33AAD">
      <w:pPr>
        <w:spacing w:beforeLines="100" w:before="240" w:line="240" w:lineRule="atLeast"/>
        <w:ind w:left="420" w:hanging="420"/>
        <w:rPr>
          <w:b/>
        </w:rPr>
      </w:pPr>
      <w:r w:rsidRPr="001F4C19">
        <w:rPr>
          <w:b/>
        </w:rPr>
        <w:t>-</w:t>
      </w:r>
      <w:r w:rsidRPr="001F4C19">
        <w:rPr>
          <w:b/>
        </w:rPr>
        <w:tab/>
        <w:t>The Associated ID is 24 bits.</w:t>
      </w:r>
    </w:p>
    <w:p w14:paraId="7557A6F6" w14:textId="1D6A1CA2" w:rsidR="001F4C19" w:rsidRDefault="001F4C19" w:rsidP="00A33AAD">
      <w:pPr>
        <w:spacing w:beforeLines="100" w:before="240" w:line="240" w:lineRule="atLeast"/>
        <w:ind w:left="420" w:hanging="420"/>
        <w:rPr>
          <w:b/>
        </w:rPr>
      </w:pPr>
      <w:r w:rsidRPr="001F4C19">
        <w:rPr>
          <w:b/>
        </w:rPr>
        <w:t>-</w:t>
      </w:r>
      <w:r w:rsidRPr="001F4C19">
        <w:rPr>
          <w:b/>
        </w:rPr>
        <w:tab/>
        <w:t>If the network does not provide the associated ID, it is up to UE implementation how to determine the applicability.</w:t>
      </w:r>
    </w:p>
    <w:p w14:paraId="4BE764EA" w14:textId="77777777" w:rsidR="00621981" w:rsidRPr="00621981" w:rsidRDefault="00621981" w:rsidP="00A33AAD">
      <w:pPr>
        <w:spacing w:beforeLines="100" w:before="240" w:line="240" w:lineRule="atLeast"/>
        <w:ind w:left="420" w:hanging="420"/>
        <w:rPr>
          <w:b/>
        </w:rPr>
      </w:pPr>
      <w:r w:rsidRPr="00621981">
        <w:rPr>
          <w:b/>
        </w:rPr>
        <w:t>-</w:t>
      </w:r>
      <w:r w:rsidRPr="00621981">
        <w:rPr>
          <w:b/>
        </w:rPr>
        <w:tab/>
      </w:r>
      <w:proofErr w:type="spellStart"/>
      <w:r w:rsidRPr="00621981">
        <w:rPr>
          <w:b/>
        </w:rPr>
        <w:t>RRCReconfigurationComplete</w:t>
      </w:r>
      <w:proofErr w:type="spellEnd"/>
      <w:r w:rsidRPr="00621981">
        <w:rPr>
          <w:b/>
        </w:rPr>
        <w:t xml:space="preserve"> shall include applicability/inapplicability status for:</w:t>
      </w:r>
    </w:p>
    <w:p w14:paraId="0717412C" w14:textId="77777777" w:rsidR="00621981" w:rsidRPr="00621981" w:rsidRDefault="00621981" w:rsidP="00A33AAD">
      <w:pPr>
        <w:spacing w:beforeLines="100" w:before="240" w:line="240" w:lineRule="atLeast"/>
        <w:ind w:left="420" w:hanging="420"/>
        <w:rPr>
          <w:b/>
        </w:rPr>
      </w:pPr>
      <w:r w:rsidRPr="00621981">
        <w:rPr>
          <w:b/>
        </w:rPr>
        <w:tab/>
        <w:t>a)</w:t>
      </w:r>
      <w:r w:rsidRPr="00621981">
        <w:rPr>
          <w:b/>
        </w:rPr>
        <w:tab/>
        <w:t xml:space="preserve">All inference configurations included in the immediately preceding </w:t>
      </w:r>
      <w:proofErr w:type="spellStart"/>
      <w:r w:rsidRPr="00621981">
        <w:rPr>
          <w:b/>
        </w:rPr>
        <w:t>RRCReconfiguration</w:t>
      </w:r>
      <w:proofErr w:type="spellEnd"/>
      <w:r w:rsidRPr="00621981">
        <w:rPr>
          <w:b/>
        </w:rPr>
        <w:t xml:space="preserve"> message, and</w:t>
      </w:r>
    </w:p>
    <w:p w14:paraId="0AD942E1" w14:textId="00BEEA0C" w:rsidR="00621981" w:rsidRPr="00621981" w:rsidRDefault="00621981" w:rsidP="00A33AAD">
      <w:pPr>
        <w:spacing w:beforeLines="100" w:before="240" w:line="240" w:lineRule="atLeast"/>
        <w:ind w:left="420" w:hanging="420"/>
        <w:rPr>
          <w:b/>
        </w:rPr>
      </w:pPr>
      <w:r w:rsidRPr="00621981">
        <w:rPr>
          <w:b/>
        </w:rPr>
        <w:tab/>
      </w:r>
      <w:r>
        <w:rPr>
          <w:b/>
        </w:rPr>
        <w:t xml:space="preserve">FFS: </w:t>
      </w:r>
      <w:r w:rsidR="00D93582">
        <w:rPr>
          <w:b/>
        </w:rPr>
        <w:t xml:space="preserve">case b) </w:t>
      </w:r>
      <w:r w:rsidRPr="00621981">
        <w:rPr>
          <w:b/>
        </w:rPr>
        <w:t>Any previously configured inference configurations for which applicability/inapplicability has already been reported and whose applicability status has changed since the last report.</w:t>
      </w:r>
    </w:p>
    <w:p w14:paraId="09358F59" w14:textId="77777777" w:rsidR="001F4C19" w:rsidRPr="001F4C19" w:rsidRDefault="001F4C19" w:rsidP="00A33AAD">
      <w:pPr>
        <w:spacing w:beforeLines="100" w:before="240" w:line="240" w:lineRule="atLeast"/>
        <w:ind w:left="420" w:hanging="420"/>
        <w:rPr>
          <w:b/>
        </w:rPr>
      </w:pPr>
      <w:r w:rsidRPr="001F4C19">
        <w:rPr>
          <w:b/>
        </w:rPr>
        <w:t>-</w:t>
      </w:r>
      <w:r w:rsidRPr="001F4C19">
        <w:rPr>
          <w:b/>
        </w:rPr>
        <w:tab/>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p w14:paraId="2943B216" w14:textId="348BA98C" w:rsidR="00D64208" w:rsidRDefault="00AB2969" w:rsidP="00D64208">
      <w:r>
        <w:rPr>
          <w:rFonts w:hint="eastAsia"/>
        </w:rPr>
        <w:t>I</w:t>
      </w:r>
      <w:r>
        <w:t>n AI air, associated ID</w:t>
      </w:r>
      <w:r w:rsidR="00C25C93">
        <w:t xml:space="preserve"> is introduced to indicate the NW side condition for applicability report and data collection. Note the cell level measurement result is derived based on the L1 beam measurement results. Therefore, the associated ID can also be beneficial in AI mobility. UE can also perform inference to obtain neighbour cell’s measurement results in AI mobility. Therefore, neighbour cell’s associated ID (if available) should also be provided to UE</w:t>
      </w:r>
      <w:r w:rsidR="00E8798A">
        <w:t xml:space="preserve">, if the </w:t>
      </w:r>
      <w:r w:rsidR="00695E9B">
        <w:t>neighbour cell’s measurement results are predicted</w:t>
      </w:r>
      <w:r w:rsidR="00C25C93">
        <w:t>.</w:t>
      </w:r>
    </w:p>
    <w:p w14:paraId="2513BADA" w14:textId="70A33AC6" w:rsidR="00D64208" w:rsidRPr="00712E42" w:rsidRDefault="00D64208" w:rsidP="00D64208">
      <w:pPr>
        <w:rPr>
          <w:b/>
        </w:rPr>
      </w:pPr>
      <w:r w:rsidRPr="00712E42">
        <w:rPr>
          <w:b/>
        </w:rPr>
        <w:lastRenderedPageBreak/>
        <w:t xml:space="preserve">Proposal 2: </w:t>
      </w:r>
      <w:r w:rsidR="00695E9B">
        <w:rPr>
          <w:b/>
        </w:rPr>
        <w:t>N</w:t>
      </w:r>
      <w:r w:rsidRPr="00712E42">
        <w:rPr>
          <w:b/>
        </w:rPr>
        <w:t xml:space="preserve">eighbour cell’s associated ID </w:t>
      </w:r>
      <w:r w:rsidR="00695E9B">
        <w:rPr>
          <w:b/>
        </w:rPr>
        <w:t xml:space="preserve">can be provided </w:t>
      </w:r>
      <w:r w:rsidRPr="00712E42">
        <w:rPr>
          <w:b/>
        </w:rPr>
        <w:t>to UE for applicability checking and data collection.</w:t>
      </w:r>
    </w:p>
    <w:p w14:paraId="66AA3EDF" w14:textId="66C80615" w:rsidR="00D77951" w:rsidRDefault="00B75DB8" w:rsidP="00D77951">
      <w:pPr>
        <w:rPr>
          <w:b/>
        </w:rPr>
      </w:pPr>
      <w:r>
        <w:t xml:space="preserve">In AI air, the associated ID is cell specific. Moreover, </w:t>
      </w:r>
      <w:r w:rsidR="00D77951">
        <w:t xml:space="preserve">the cell configuration considered for generalization in AI mobility is Uma or </w:t>
      </w:r>
      <w:proofErr w:type="spellStart"/>
      <w:r w:rsidR="00D77951">
        <w:t>Umi</w:t>
      </w:r>
      <w:proofErr w:type="spellEnd"/>
      <w:r w:rsidR="00D77951">
        <w:t>. The cell configuration may be common</w:t>
      </w:r>
      <w:r w:rsidR="00DE6623">
        <w:t>ly</w:t>
      </w:r>
      <w:r w:rsidR="00D77951">
        <w:t xml:space="preserve"> applicable </w:t>
      </w:r>
      <w:r>
        <w:t xml:space="preserve">among multiple cells </w:t>
      </w:r>
      <w:r w:rsidR="00DE6623">
        <w:t xml:space="preserve">or </w:t>
      </w:r>
      <w:r>
        <w:t>frequency</w:t>
      </w:r>
      <w:r w:rsidR="00D77951">
        <w:t>. The cell on the same frequency</w:t>
      </w:r>
      <w:r w:rsidR="00DE6623">
        <w:t>/area</w:t>
      </w:r>
      <w:r w:rsidR="00D77951">
        <w:t xml:space="preserve"> may be expected to be deployed with the same cell configuration. It </w:t>
      </w:r>
      <w:r w:rsidR="00DE6623">
        <w:t>is more</w:t>
      </w:r>
      <w:r w:rsidR="00D77951">
        <w:t xml:space="preserve"> efficient to provide the associated ID per </w:t>
      </w:r>
      <w:r>
        <w:t>multiple cells/</w:t>
      </w:r>
      <w:r w:rsidR="00D77951">
        <w:t>frequency. The signalling overhead can be significantly reduced.</w:t>
      </w:r>
    </w:p>
    <w:p w14:paraId="2C3ADA5D" w14:textId="2E566BD0" w:rsidR="00D77951" w:rsidRDefault="00D77951" w:rsidP="00D77951">
      <w:pPr>
        <w:rPr>
          <w:b/>
        </w:rPr>
      </w:pPr>
      <w:r>
        <w:rPr>
          <w:b/>
        </w:rPr>
        <w:t xml:space="preserve">Proposal </w:t>
      </w:r>
      <w:r w:rsidR="00450C77">
        <w:rPr>
          <w:b/>
        </w:rPr>
        <w:t>3</w:t>
      </w:r>
      <w:r>
        <w:rPr>
          <w:b/>
        </w:rPr>
        <w:t xml:space="preserve">: </w:t>
      </w:r>
      <w:r w:rsidR="00B75DB8">
        <w:rPr>
          <w:b/>
        </w:rPr>
        <w:t>T</w:t>
      </w:r>
      <w:r>
        <w:rPr>
          <w:b/>
        </w:rPr>
        <w:t xml:space="preserve">he associated ID can be provided per </w:t>
      </w:r>
      <w:r w:rsidR="001C6360">
        <w:rPr>
          <w:b/>
        </w:rPr>
        <w:t>cell/multiple cells/</w:t>
      </w:r>
      <w:r>
        <w:rPr>
          <w:b/>
        </w:rPr>
        <w:t>frequency.</w:t>
      </w:r>
    </w:p>
    <w:p w14:paraId="14160531" w14:textId="0E58BC30" w:rsidR="00D64208" w:rsidRDefault="00BB4105" w:rsidP="00BB4105">
      <w:pPr>
        <w:pStyle w:val="2"/>
        <w:rPr>
          <w:lang w:eastAsia="zh-CN"/>
        </w:rPr>
      </w:pPr>
      <w:r>
        <w:rPr>
          <w:rFonts w:hint="eastAsia"/>
          <w:lang w:eastAsia="zh-CN"/>
        </w:rPr>
        <w:t>I</w:t>
      </w:r>
      <w:r>
        <w:rPr>
          <w:lang w:eastAsia="zh-CN"/>
        </w:rPr>
        <w:t xml:space="preserve">nference configuration </w:t>
      </w:r>
    </w:p>
    <w:p w14:paraId="1BDE36D0" w14:textId="0239AD3C" w:rsidR="008C146D" w:rsidRDefault="00623D75" w:rsidP="00623D75">
      <w:r>
        <w:t xml:space="preserve">In [1], it’s stated </w:t>
      </w:r>
      <w:r w:rsidR="0095031A" w:rsidRPr="0095031A">
        <w:t>the RRM measurement configuration and reporting frameworks in RRC layer are taken as baseline.</w:t>
      </w:r>
      <w:r w:rsidR="0095031A">
        <w:t xml:space="preserve"> In </w:t>
      </w:r>
      <w:r w:rsidR="00C51F69">
        <w:t xml:space="preserve">legacy </w:t>
      </w:r>
      <w:r w:rsidR="0095031A">
        <w:t xml:space="preserve">RRM measurement framework, </w:t>
      </w:r>
      <w:proofErr w:type="spellStart"/>
      <w:r w:rsidR="00604784" w:rsidRPr="009D0678">
        <w:rPr>
          <w:i/>
        </w:rPr>
        <w:t>MeasObjectNR</w:t>
      </w:r>
      <w:proofErr w:type="spellEnd"/>
      <w:r w:rsidR="00076AA1">
        <w:t xml:space="preserve"> indicates applicable cell/frequency for measurement report. </w:t>
      </w:r>
      <w:proofErr w:type="spellStart"/>
      <w:r w:rsidR="00076AA1" w:rsidRPr="009D0678">
        <w:rPr>
          <w:i/>
        </w:rPr>
        <w:t>R</w:t>
      </w:r>
      <w:r w:rsidR="0095031A" w:rsidRPr="009D0678">
        <w:rPr>
          <w:i/>
        </w:rPr>
        <w:t>eport</w:t>
      </w:r>
      <w:r w:rsidR="00604784" w:rsidRPr="009D0678">
        <w:rPr>
          <w:i/>
        </w:rPr>
        <w:t>C</w:t>
      </w:r>
      <w:r w:rsidR="0095031A" w:rsidRPr="009D0678">
        <w:rPr>
          <w:i/>
        </w:rPr>
        <w:t>onfig</w:t>
      </w:r>
      <w:proofErr w:type="spellEnd"/>
      <w:r w:rsidR="00076AA1">
        <w:t xml:space="preserve"> indicates the report trigger, e.g. periodical or event triggered. </w:t>
      </w:r>
      <w:proofErr w:type="spellStart"/>
      <w:r w:rsidR="00604784" w:rsidRPr="009D0678">
        <w:rPr>
          <w:i/>
        </w:rPr>
        <w:t>M</w:t>
      </w:r>
      <w:r w:rsidR="0095031A" w:rsidRPr="009D0678">
        <w:rPr>
          <w:i/>
        </w:rPr>
        <w:t>eas</w:t>
      </w:r>
      <w:r w:rsidR="00604784" w:rsidRPr="009D0678">
        <w:rPr>
          <w:i/>
        </w:rPr>
        <w:t>ID</w:t>
      </w:r>
      <w:proofErr w:type="spellEnd"/>
      <w:r w:rsidR="0095031A">
        <w:t xml:space="preserve"> </w:t>
      </w:r>
      <w:r w:rsidR="00076AA1">
        <w:t xml:space="preserve">links the </w:t>
      </w:r>
      <w:proofErr w:type="spellStart"/>
      <w:r w:rsidR="00604784" w:rsidRPr="009D0678">
        <w:rPr>
          <w:i/>
        </w:rPr>
        <w:t>R</w:t>
      </w:r>
      <w:r w:rsidR="00076AA1" w:rsidRPr="009D0678">
        <w:rPr>
          <w:i/>
        </w:rPr>
        <w:t>eport</w:t>
      </w:r>
      <w:r w:rsidR="00604784" w:rsidRPr="009D0678">
        <w:rPr>
          <w:i/>
        </w:rPr>
        <w:t>C</w:t>
      </w:r>
      <w:r w:rsidR="00076AA1" w:rsidRPr="009D0678">
        <w:rPr>
          <w:i/>
        </w:rPr>
        <w:t>onfig</w:t>
      </w:r>
      <w:proofErr w:type="spellEnd"/>
      <w:r w:rsidR="00076AA1">
        <w:t xml:space="preserve"> and </w:t>
      </w:r>
      <w:proofErr w:type="spellStart"/>
      <w:r w:rsidR="00604784" w:rsidRPr="009D0678">
        <w:rPr>
          <w:i/>
        </w:rPr>
        <w:t>MeasObjectNR</w:t>
      </w:r>
      <w:proofErr w:type="spellEnd"/>
      <w:r w:rsidR="00C51F69">
        <w:t>.</w:t>
      </w:r>
      <w:r w:rsidR="008C146D">
        <w:t xml:space="preserve"> </w:t>
      </w:r>
      <w:r w:rsidR="00C51F69">
        <w:t xml:space="preserve">We need to discuss how to provide the inference configuration for RRM prediction. </w:t>
      </w:r>
    </w:p>
    <w:p w14:paraId="2FA0DFE5" w14:textId="787EB16B" w:rsidR="008C146D" w:rsidRDefault="008C146D" w:rsidP="00623D75">
      <w:r>
        <w:t xml:space="preserve">The inference configuration may be specific to cell/frequency and agnostic to the report type. Because the training data may be collected based on cell/frequency, rather than report type. Therefore, it’s preferred to provide the inference configuration in the </w:t>
      </w:r>
      <w:proofErr w:type="spellStart"/>
      <w:r w:rsidR="00604784" w:rsidRPr="009D0678">
        <w:rPr>
          <w:i/>
        </w:rPr>
        <w:t>MeasObjectNR</w:t>
      </w:r>
      <w:proofErr w:type="spellEnd"/>
      <w:r>
        <w:t xml:space="preserve">. Additional indication can be included in the </w:t>
      </w:r>
      <w:proofErr w:type="spellStart"/>
      <w:r w:rsidR="00604784" w:rsidRPr="009D0678">
        <w:rPr>
          <w:i/>
        </w:rPr>
        <w:t>MeasObjectNR</w:t>
      </w:r>
      <w:proofErr w:type="spellEnd"/>
      <w:r>
        <w:t xml:space="preserve"> to indicate whether the measurement result of corresponding cell/frequency is obtained by actual measurement or prediction.</w:t>
      </w:r>
      <w:r w:rsidR="00DF6885">
        <w:t xml:space="preserve"> This solution can apply to all RRM measurement prediction use cases, i.e. temporal case A, temporal case B and inter-frequency prediction. </w:t>
      </w:r>
    </w:p>
    <w:p w14:paraId="08194C71" w14:textId="1F4BDFDF" w:rsidR="000F5352" w:rsidRDefault="000F5352" w:rsidP="00623D75">
      <w:pPr>
        <w:rPr>
          <w:b/>
        </w:rPr>
      </w:pPr>
      <w:r w:rsidRPr="00B707B8">
        <w:rPr>
          <w:b/>
        </w:rPr>
        <w:t xml:space="preserve">Proposal 4: </w:t>
      </w:r>
      <w:r w:rsidR="009D0678">
        <w:rPr>
          <w:b/>
        </w:rPr>
        <w:t>T</w:t>
      </w:r>
      <w:r w:rsidRPr="00B707B8">
        <w:rPr>
          <w:b/>
        </w:rPr>
        <w:t xml:space="preserve">he </w:t>
      </w:r>
      <w:r w:rsidR="009D0678">
        <w:rPr>
          <w:b/>
        </w:rPr>
        <w:t>predicted</w:t>
      </w:r>
      <w:r w:rsidRPr="00B707B8">
        <w:rPr>
          <w:b/>
        </w:rPr>
        <w:t xml:space="preserve"> cell/frequency </w:t>
      </w:r>
      <w:r w:rsidR="009D0678">
        <w:rPr>
          <w:b/>
        </w:rPr>
        <w:t xml:space="preserve">is indicted by </w:t>
      </w:r>
      <w:proofErr w:type="spellStart"/>
      <w:r w:rsidR="009D0678" w:rsidRPr="009D0678">
        <w:rPr>
          <w:b/>
          <w:i/>
        </w:rPr>
        <w:t>MeasObjectNR</w:t>
      </w:r>
      <w:proofErr w:type="spellEnd"/>
      <w:r w:rsidR="009D0678" w:rsidRPr="00B707B8">
        <w:rPr>
          <w:b/>
        </w:rPr>
        <w:t xml:space="preserve"> </w:t>
      </w:r>
      <w:r w:rsidR="00DF6885">
        <w:rPr>
          <w:b/>
        </w:rPr>
        <w:t>in all RRM measurement prediction use cases</w:t>
      </w:r>
      <w:r w:rsidR="009D0678">
        <w:rPr>
          <w:b/>
        </w:rPr>
        <w:t>, i.e. temporal case a, temporal case b and inter-frequency prediction</w:t>
      </w:r>
      <w:r w:rsidRPr="00B707B8">
        <w:rPr>
          <w:b/>
        </w:rPr>
        <w:t>.</w:t>
      </w:r>
    </w:p>
    <w:p w14:paraId="73490B62" w14:textId="07B0DA56" w:rsidR="00B72169" w:rsidRPr="00AE105A" w:rsidRDefault="00287C71" w:rsidP="00B72169">
      <w:r>
        <w:t>Besides the target frequency/cell, additional inference configuration may be needed.</w:t>
      </w:r>
      <w:r w:rsidR="00B72169">
        <w:t xml:space="preserve"> </w:t>
      </w:r>
      <w:r w:rsidR="00B72169">
        <w:rPr>
          <w:rFonts w:hint="eastAsia"/>
        </w:rPr>
        <w:t>I</w:t>
      </w:r>
      <w:r w:rsidR="00B72169">
        <w:t xml:space="preserve">n SI, </w:t>
      </w:r>
      <w:r w:rsidR="00BB7BA1">
        <w:t>t</w:t>
      </w:r>
      <w:r w:rsidR="00B72169" w:rsidRPr="00AE105A">
        <w:t xml:space="preserve">he following potential “inference parameters” </w:t>
      </w:r>
      <w:r w:rsidR="00CE18E3">
        <w:t xml:space="preserve">were agreed to </w:t>
      </w:r>
      <w:r w:rsidR="00B72169" w:rsidRPr="00AE105A">
        <w:t>be considered for inference/measurement configuration, which provides the necessary information for UE to examine the applicability,</w:t>
      </w:r>
    </w:p>
    <w:p w14:paraId="54469122" w14:textId="77777777" w:rsidR="00B72169" w:rsidRDefault="00B72169" w:rsidP="00B72169">
      <w:r>
        <w:t>• PW length (for temporal case A)</w:t>
      </w:r>
    </w:p>
    <w:p w14:paraId="323A99CC" w14:textId="77777777" w:rsidR="00B72169" w:rsidRDefault="00B72169" w:rsidP="00B72169">
      <w:r>
        <w:t>• Skipping pattern (e.g. SSB config that indicates SSBs transmitted) (optional).  MRRT (for temporal case B) not discussed in study item, but if RAN4 says otherwise can be considered in WI</w:t>
      </w:r>
    </w:p>
    <w:p w14:paraId="0D2AF5CA" w14:textId="77777777" w:rsidR="00B72169" w:rsidRDefault="00B72169" w:rsidP="00B72169">
      <w:r>
        <w:t>• Measured and predicted beam pattern (optional).   MRRS (for spatial domain prediction) not discussed in study item, but if RAN4 says otherwise can be considered in WI</w:t>
      </w:r>
    </w:p>
    <w:p w14:paraId="4423EF38" w14:textId="77777777" w:rsidR="00B72169" w:rsidRDefault="00B72169" w:rsidP="00B72169">
      <w:r>
        <w:t>• Measured and predicted frequency (For inter-</w:t>
      </w:r>
      <w:proofErr w:type="spellStart"/>
      <w:r>
        <w:t>freq</w:t>
      </w:r>
      <w:proofErr w:type="spellEnd"/>
      <w:r>
        <w:t xml:space="preserve"> domain prediction)</w:t>
      </w:r>
    </w:p>
    <w:p w14:paraId="6FACC95D" w14:textId="3C53FF18" w:rsidR="00B72169" w:rsidRDefault="003732B2" w:rsidP="00623D75">
      <w:r>
        <w:t>For</w:t>
      </w:r>
      <w:r w:rsidR="00B72169">
        <w:t xml:space="preserve"> temporal case A, </w:t>
      </w:r>
      <w:r w:rsidR="00B72169">
        <w:rPr>
          <w:rFonts w:hint="eastAsia"/>
        </w:rPr>
        <w:t>P</w:t>
      </w:r>
      <w:r w:rsidR="00B72169">
        <w:t>W window length is essential for UE to perform inference. Because UE need to be aware how many measurement results shall be predicted.</w:t>
      </w:r>
    </w:p>
    <w:p w14:paraId="09795DFE" w14:textId="533EC3C8" w:rsidR="00B72169" w:rsidRDefault="00B72169" w:rsidP="00623D75">
      <w:r w:rsidRPr="00B707B8">
        <w:rPr>
          <w:b/>
        </w:rPr>
        <w:t xml:space="preserve">Proposal </w:t>
      </w:r>
      <w:r>
        <w:rPr>
          <w:b/>
        </w:rPr>
        <w:t>5</w:t>
      </w:r>
      <w:r w:rsidRPr="00B707B8">
        <w:rPr>
          <w:b/>
        </w:rPr>
        <w:t xml:space="preserve">: </w:t>
      </w:r>
      <w:r w:rsidR="003732B2">
        <w:rPr>
          <w:b/>
        </w:rPr>
        <w:t>F</w:t>
      </w:r>
      <w:r w:rsidR="003732B2" w:rsidRPr="00B707B8">
        <w:rPr>
          <w:b/>
        </w:rPr>
        <w:t xml:space="preserve">or </w:t>
      </w:r>
      <w:r w:rsidR="003732B2">
        <w:rPr>
          <w:b/>
        </w:rPr>
        <w:t xml:space="preserve">temporal </w:t>
      </w:r>
      <w:r w:rsidR="003732B2" w:rsidRPr="00B707B8">
        <w:rPr>
          <w:b/>
        </w:rPr>
        <w:t>case A</w:t>
      </w:r>
      <w:r w:rsidR="003732B2">
        <w:rPr>
          <w:b/>
        </w:rPr>
        <w:t xml:space="preserve">, </w:t>
      </w:r>
      <w:r>
        <w:rPr>
          <w:b/>
        </w:rPr>
        <w:t>PW length</w:t>
      </w:r>
      <w:r w:rsidRPr="00B707B8">
        <w:rPr>
          <w:b/>
        </w:rPr>
        <w:t xml:space="preserve"> </w:t>
      </w:r>
      <w:r>
        <w:rPr>
          <w:b/>
        </w:rPr>
        <w:t>is</w:t>
      </w:r>
      <w:r w:rsidRPr="00B707B8">
        <w:rPr>
          <w:b/>
        </w:rPr>
        <w:t xml:space="preserve"> </w:t>
      </w:r>
      <w:r w:rsidR="003732B2">
        <w:rPr>
          <w:b/>
        </w:rPr>
        <w:t>configured by NW as part of inference configuration</w:t>
      </w:r>
      <w:r w:rsidRPr="00B707B8">
        <w:rPr>
          <w:b/>
        </w:rPr>
        <w:t>.</w:t>
      </w:r>
    </w:p>
    <w:p w14:paraId="6C682B11" w14:textId="6E8E69AD" w:rsidR="00B72169" w:rsidRDefault="003732B2" w:rsidP="00623D75">
      <w:r>
        <w:t>For</w:t>
      </w:r>
      <w:r w:rsidR="00B72169">
        <w:t xml:space="preserve"> temporal case B, we understand the skipping pattern can be left to UE implementation. Because current RRM requirement doesn’t restrict on which SSB occasion UE performs measurement, as long as the measurement result fulfils the requirement. The motivation of skipping pattern is to enable NW reduce the </w:t>
      </w:r>
      <w:r>
        <w:t>SSB</w:t>
      </w:r>
      <w:r w:rsidR="00B72169">
        <w:t xml:space="preserve"> transmission. However,</w:t>
      </w:r>
      <w:r>
        <w:t xml:space="preserve"> legacy UEs and UEs in neighbour cells still require SSB transmission to perform measurement. SSB reduction would degrade the measurement performance of legacy UEs and UEs in </w:t>
      </w:r>
      <w:r>
        <w:lastRenderedPageBreak/>
        <w:t>neighbour cells. Therefore, we propose the skipping pattern is up to UE implementation and not configured by NW.</w:t>
      </w:r>
    </w:p>
    <w:p w14:paraId="17FA489B" w14:textId="483496BE" w:rsidR="003732B2" w:rsidRPr="003732B2" w:rsidRDefault="003732B2" w:rsidP="00623D75">
      <w:pPr>
        <w:rPr>
          <w:b/>
        </w:rPr>
      </w:pPr>
      <w:r w:rsidRPr="003732B2">
        <w:rPr>
          <w:rFonts w:hint="eastAsia"/>
          <w:b/>
        </w:rPr>
        <w:t>P</w:t>
      </w:r>
      <w:r w:rsidRPr="003732B2">
        <w:rPr>
          <w:b/>
        </w:rPr>
        <w:t xml:space="preserve">roposal 6: </w:t>
      </w:r>
      <w:r>
        <w:rPr>
          <w:b/>
        </w:rPr>
        <w:t>For temporal case B, skipping pattern is not configured by NW and left to UE implementation.</w:t>
      </w:r>
    </w:p>
    <w:p w14:paraId="6CE22CA9" w14:textId="4B7B014C" w:rsidR="00B72169" w:rsidRDefault="003732B2" w:rsidP="00623D75">
      <w:r>
        <w:rPr>
          <w:rFonts w:hint="eastAsia"/>
        </w:rPr>
        <w:t>F</w:t>
      </w:r>
      <w:r>
        <w:t xml:space="preserve">or inter-frequency prediction, the predicted </w:t>
      </w:r>
      <w:r w:rsidR="002226E4">
        <w:t>cell/</w:t>
      </w:r>
      <w:r>
        <w:t xml:space="preserve">frequency can be indicated by </w:t>
      </w:r>
      <w:proofErr w:type="spellStart"/>
      <w:r w:rsidR="00604784">
        <w:t>MeasObjectNR</w:t>
      </w:r>
      <w:proofErr w:type="spellEnd"/>
      <w:r>
        <w:t xml:space="preserve"> as in legacy way. The question is whether measured frequency need to be configured by NW. </w:t>
      </w:r>
      <w:r w:rsidR="005070C6">
        <w:t>We understand t</w:t>
      </w:r>
      <w:r>
        <w:t>here are two possible options,</w:t>
      </w:r>
    </w:p>
    <w:p w14:paraId="24937B9C" w14:textId="7AE81166" w:rsidR="003732B2" w:rsidRDefault="003732B2" w:rsidP="00623D75">
      <w:r>
        <w:t>Option 1: NW explicitly configures the mapping between measured and predicted frequency(s),</w:t>
      </w:r>
    </w:p>
    <w:p w14:paraId="1608F5E6" w14:textId="5612535F" w:rsidR="003732B2" w:rsidRDefault="003732B2" w:rsidP="00623D75">
      <w:r>
        <w:rPr>
          <w:rFonts w:hint="eastAsia"/>
        </w:rPr>
        <w:t>O</w:t>
      </w:r>
      <w:r>
        <w:t xml:space="preserve">ption 2: </w:t>
      </w:r>
      <w:r w:rsidR="0085785E">
        <w:t>I</w:t>
      </w:r>
      <w:r>
        <w:t>t’s up to UE to decide the measured frequency(s)</w:t>
      </w:r>
      <w:r w:rsidR="0085785E">
        <w:t>, based on the predicted frequency(s)</w:t>
      </w:r>
      <w:r w:rsidR="00DF6885">
        <w:t xml:space="preserve"> configured by NW</w:t>
      </w:r>
      <w:r>
        <w:t>.</w:t>
      </w:r>
    </w:p>
    <w:p w14:paraId="7F4E6CC5" w14:textId="606D26E0" w:rsidR="00986B5E" w:rsidRDefault="00986B5E" w:rsidP="00623D75">
      <w:r>
        <w:t>Both options can work.</w:t>
      </w:r>
      <w:r w:rsidR="006A35EC">
        <w:t xml:space="preserve"> Note</w:t>
      </w:r>
      <w:r>
        <w:t xml:space="preserve"> </w:t>
      </w:r>
      <w:r w:rsidR="00D777F8">
        <w:t xml:space="preserve">it’s up to UE </w:t>
      </w:r>
      <w:r w:rsidR="00E715A2">
        <w:t xml:space="preserve">implementation </w:t>
      </w:r>
      <w:r w:rsidR="00D777F8">
        <w:t xml:space="preserve">how to collect data and train the model in UE sided model. Even if </w:t>
      </w:r>
      <w:r>
        <w:t>there are multiple co-located frequencies</w:t>
      </w:r>
      <w:r w:rsidR="00D777F8">
        <w:t xml:space="preserve">, </w:t>
      </w:r>
      <w:r w:rsidR="00D6641F">
        <w:t xml:space="preserve">UE may only use </w:t>
      </w:r>
      <w:r w:rsidR="00D777F8">
        <w:t xml:space="preserve">measurement results on one or subset of the frequencies as input </w:t>
      </w:r>
      <w:r w:rsidR="00D6641F">
        <w:t>to train the AI model</w:t>
      </w:r>
      <w:r w:rsidR="00D777F8">
        <w:t xml:space="preserve"> to reduce the complexity, i.e. not all the measurement results can be the input </w:t>
      </w:r>
      <w:r w:rsidR="00D6641F">
        <w:t xml:space="preserve">of </w:t>
      </w:r>
      <w:r w:rsidR="00D777F8">
        <w:t xml:space="preserve">inter-frequency prediction. Therefore, in option 1, </w:t>
      </w:r>
      <w:proofErr w:type="spellStart"/>
      <w:r>
        <w:t>gNB</w:t>
      </w:r>
      <w:proofErr w:type="spellEnd"/>
      <w:r>
        <w:t xml:space="preserve"> may need to </w:t>
      </w:r>
      <w:r w:rsidR="00D777F8">
        <w:t>check</w:t>
      </w:r>
      <w:r>
        <w:t xml:space="preserve"> many potential combinations of measured and predicted frequency to </w:t>
      </w:r>
      <w:r w:rsidR="00D777F8">
        <w:t>find</w:t>
      </w:r>
      <w:r>
        <w:t xml:space="preserve"> the </w:t>
      </w:r>
      <w:r w:rsidR="00D777F8">
        <w:t xml:space="preserve">applicable </w:t>
      </w:r>
      <w:r>
        <w:t>functionality. Additional signalling overhead would be introduced.</w:t>
      </w:r>
      <w:r w:rsidR="00D777F8">
        <w:t xml:space="preserve"> While in option 2, </w:t>
      </w:r>
      <w:r w:rsidR="00DF6885">
        <w:t xml:space="preserve">NW only indicate the predicted frequency by </w:t>
      </w:r>
      <w:proofErr w:type="spellStart"/>
      <w:r w:rsidR="00604784">
        <w:t>MeasObjectNR</w:t>
      </w:r>
      <w:proofErr w:type="spellEnd"/>
      <w:r w:rsidR="00D6641F">
        <w:t xml:space="preserve">. </w:t>
      </w:r>
      <w:r w:rsidR="00DF6885">
        <w:rPr>
          <w:rFonts w:hint="eastAsia"/>
        </w:rPr>
        <w:t>UE</w:t>
      </w:r>
      <w:r w:rsidR="00DF6885">
        <w:t xml:space="preserve"> determine the</w:t>
      </w:r>
      <w:r w:rsidR="00D6641F">
        <w:t xml:space="preserve"> </w:t>
      </w:r>
      <w:r w:rsidR="00DF6885">
        <w:t xml:space="preserve">measured frequency and functionality </w:t>
      </w:r>
      <w:r w:rsidR="00D6641F">
        <w:t>applicability</w:t>
      </w:r>
      <w:r w:rsidR="00DF6885">
        <w:t xml:space="preserve"> by implementation. Option 2 is more efficient from signalling point of view.</w:t>
      </w:r>
      <w:r w:rsidR="00D6641F">
        <w:t xml:space="preserve"> </w:t>
      </w:r>
      <w:r w:rsidR="00D777F8">
        <w:t xml:space="preserve"> </w:t>
      </w:r>
    </w:p>
    <w:p w14:paraId="35615081" w14:textId="77777777" w:rsidR="00D55CB3" w:rsidRPr="00DF6885" w:rsidRDefault="00D55CB3" w:rsidP="00D55CB3">
      <w:pPr>
        <w:rPr>
          <w:b/>
        </w:rPr>
      </w:pPr>
      <w:r w:rsidRPr="00DF6885">
        <w:rPr>
          <w:b/>
        </w:rPr>
        <w:t>Proposal 7: For inter-frequency prediction, the measured frequency(s)</w:t>
      </w:r>
      <w:r>
        <w:rPr>
          <w:b/>
        </w:rPr>
        <w:t xml:space="preserve"> is not configured by NW and </w:t>
      </w:r>
      <w:r w:rsidRPr="00DF6885">
        <w:rPr>
          <w:b/>
        </w:rPr>
        <w:t>it’s up to UE implementation to decide the measured frequency(s), based on the predicted frequency(s) configured by NW.</w:t>
      </w:r>
    </w:p>
    <w:p w14:paraId="273347CD" w14:textId="7E85DFBC" w:rsidR="005716E2" w:rsidRDefault="005716E2" w:rsidP="00604784">
      <w:pPr>
        <w:pStyle w:val="2"/>
      </w:pPr>
      <w:r>
        <w:rPr>
          <w:rFonts w:hint="eastAsia"/>
          <w:lang w:eastAsia="zh-CN"/>
        </w:rPr>
        <w:t>I</w:t>
      </w:r>
      <w:r>
        <w:rPr>
          <w:lang w:eastAsia="zh-CN"/>
        </w:rPr>
        <w:t>nference report</w:t>
      </w:r>
    </w:p>
    <w:p w14:paraId="5CB07D5A" w14:textId="17B8CA3D" w:rsidR="00B72169" w:rsidRPr="00B72169" w:rsidRDefault="00E715A2" w:rsidP="00623D75">
      <w:r>
        <w:t>In legacy RRM measurement framework, the measurement report can be triggered periodically or by event. In general, we understand the legacy measurement report trigger can be reused. We can further discuss whether new event is needed.</w:t>
      </w:r>
      <w:bookmarkStart w:id="1" w:name="_GoBack"/>
      <w:bookmarkEnd w:id="1"/>
    </w:p>
    <w:p w14:paraId="41E21930" w14:textId="5A0183A9" w:rsidR="00F8535A" w:rsidRDefault="00F8535A" w:rsidP="00623D75">
      <w:pPr>
        <w:rPr>
          <w:b/>
        </w:rPr>
      </w:pPr>
      <w:r>
        <w:rPr>
          <w:rFonts w:hint="eastAsia"/>
          <w:b/>
        </w:rPr>
        <w:t>P</w:t>
      </w:r>
      <w:r>
        <w:rPr>
          <w:b/>
        </w:rPr>
        <w:t xml:space="preserve">roposal </w:t>
      </w:r>
      <w:r w:rsidR="00956449">
        <w:rPr>
          <w:b/>
        </w:rPr>
        <w:t>8</w:t>
      </w:r>
      <w:r>
        <w:rPr>
          <w:b/>
        </w:rPr>
        <w:t xml:space="preserve">: </w:t>
      </w:r>
      <w:r w:rsidR="00E715A2">
        <w:rPr>
          <w:b/>
        </w:rPr>
        <w:t>L</w:t>
      </w:r>
      <w:r>
        <w:rPr>
          <w:b/>
        </w:rPr>
        <w:t xml:space="preserve">egacy </w:t>
      </w:r>
      <w:r w:rsidR="00E715A2">
        <w:rPr>
          <w:b/>
        </w:rPr>
        <w:t xml:space="preserve">measurement </w:t>
      </w:r>
      <w:r>
        <w:rPr>
          <w:b/>
        </w:rPr>
        <w:t xml:space="preserve">report </w:t>
      </w:r>
      <w:r w:rsidR="00E715A2">
        <w:rPr>
          <w:b/>
        </w:rPr>
        <w:t>trigger can be reused</w:t>
      </w:r>
      <w:r>
        <w:rPr>
          <w:b/>
        </w:rPr>
        <w:t>.</w:t>
      </w:r>
    </w:p>
    <w:p w14:paraId="75BDF440" w14:textId="60A0AE55" w:rsidR="002D41FD" w:rsidRDefault="002D41FD" w:rsidP="002D41FD">
      <w:r>
        <w:t xml:space="preserve">For temporal case A, in SI, it’s agreed </w:t>
      </w:r>
      <w:r w:rsidRPr="00651F8F">
        <w:rPr>
          <w:rFonts w:hint="eastAsia"/>
        </w:rPr>
        <w:t xml:space="preserve">one or more instances of predicted measurement results in PW per one cell are reported in one </w:t>
      </w:r>
      <w:proofErr w:type="spellStart"/>
      <w:r w:rsidRPr="002D41FD">
        <w:rPr>
          <w:rFonts w:hint="eastAsia"/>
          <w:i/>
        </w:rPr>
        <w:t>measurementReport</w:t>
      </w:r>
      <w:proofErr w:type="spellEnd"/>
      <w:r w:rsidRPr="00651F8F">
        <w:rPr>
          <w:rFonts w:hint="eastAsia"/>
        </w:rPr>
        <w:t xml:space="preserve"> message</w:t>
      </w:r>
      <w:r>
        <w:t xml:space="preserve">. However, it’s not clear which/what measurement result in PW is reported. </w:t>
      </w:r>
      <w:r w:rsidRPr="000842E8">
        <w:rPr>
          <w:rFonts w:hint="eastAsia"/>
        </w:rPr>
        <w:t>D</w:t>
      </w:r>
      <w:r w:rsidRPr="000842E8">
        <w:t>uring the simulation,</w:t>
      </w:r>
      <w:r>
        <w:t xml:space="preserve"> multiple outputs were provided, including</w:t>
      </w:r>
    </w:p>
    <w:p w14:paraId="13502A4C" w14:textId="2AC6C82F" w:rsidR="002D41FD" w:rsidRPr="00184E60" w:rsidRDefault="002D41FD" w:rsidP="002D41FD">
      <w:pPr>
        <w:pStyle w:val="af6"/>
        <w:numPr>
          <w:ilvl w:val="0"/>
          <w:numId w:val="29"/>
        </w:numPr>
        <w:spacing w:beforeLines="50" w:before="120"/>
        <w:ind w:firstLineChars="0"/>
        <w:rPr>
          <w:sz w:val="22"/>
          <w:szCs w:val="22"/>
        </w:rPr>
      </w:pPr>
      <w:r w:rsidRPr="00184E60">
        <w:rPr>
          <w:sz w:val="22"/>
          <w:szCs w:val="22"/>
        </w:rPr>
        <w:t>predicted measurement result on each timing instance within PW</w:t>
      </w:r>
    </w:p>
    <w:p w14:paraId="05736095" w14:textId="47E07F59" w:rsidR="002D41FD" w:rsidRPr="00184E60" w:rsidRDefault="002D41FD" w:rsidP="002D41FD">
      <w:pPr>
        <w:pStyle w:val="af6"/>
        <w:numPr>
          <w:ilvl w:val="0"/>
          <w:numId w:val="29"/>
        </w:numPr>
        <w:spacing w:beforeLines="50" w:before="120"/>
        <w:ind w:firstLineChars="0"/>
        <w:rPr>
          <w:sz w:val="22"/>
          <w:szCs w:val="22"/>
        </w:rPr>
      </w:pPr>
      <w:r w:rsidRPr="00184E60">
        <w:rPr>
          <w:rFonts w:eastAsiaTheme="minorEastAsia" w:hint="eastAsia"/>
          <w:sz w:val="22"/>
          <w:szCs w:val="22"/>
          <w:lang w:eastAsia="zh-CN"/>
        </w:rPr>
        <w:t>a</w:t>
      </w:r>
      <w:r w:rsidRPr="00184E60">
        <w:rPr>
          <w:rFonts w:eastAsiaTheme="minorEastAsia"/>
          <w:sz w:val="22"/>
          <w:szCs w:val="22"/>
          <w:lang w:eastAsia="zh-CN"/>
        </w:rPr>
        <w:t>verage of predicted measurement results within PW</w:t>
      </w:r>
    </w:p>
    <w:p w14:paraId="364CE5BB" w14:textId="660FE0C5" w:rsidR="002D41FD" w:rsidRPr="00184E60" w:rsidRDefault="002D41FD" w:rsidP="002D41FD">
      <w:pPr>
        <w:pStyle w:val="af6"/>
        <w:numPr>
          <w:ilvl w:val="0"/>
          <w:numId w:val="29"/>
        </w:numPr>
        <w:spacing w:beforeLines="50" w:before="120"/>
        <w:ind w:firstLineChars="0"/>
        <w:rPr>
          <w:sz w:val="22"/>
          <w:szCs w:val="22"/>
        </w:rPr>
      </w:pPr>
      <w:r w:rsidRPr="00184E60">
        <w:rPr>
          <w:rFonts w:eastAsiaTheme="minorEastAsia"/>
          <w:sz w:val="22"/>
          <w:szCs w:val="22"/>
          <w:lang w:eastAsia="zh-CN"/>
        </w:rPr>
        <w:t>predicted measurement result on last timing instance</w:t>
      </w:r>
    </w:p>
    <w:p w14:paraId="3F161A37" w14:textId="20987499" w:rsidR="002D41FD" w:rsidRPr="000842E8" w:rsidRDefault="002D41FD" w:rsidP="002D41FD">
      <w:pPr>
        <w:spacing w:beforeLines="100" w:before="240"/>
      </w:pPr>
      <w:r>
        <w:t xml:space="preserve">With predicted measurement results on each timing instance within PW, NW have the full picture of the radio channel condition within PW, which provide flexibility for NW. NW can </w:t>
      </w:r>
      <w:r w:rsidR="00B23CF6">
        <w:t xml:space="preserve">execute handover before radio condition degrades. </w:t>
      </w:r>
      <w:r>
        <w:t xml:space="preserve">However, this would result in large signalling overhead if PW is long. </w:t>
      </w:r>
      <w:r w:rsidR="00B23CF6">
        <w:t>T</w:t>
      </w:r>
      <w:r>
        <w:t xml:space="preserve">he average of predicted measurement results within PW can save a lot of signalling and provide a general information about radio condition. </w:t>
      </w:r>
      <w:r w:rsidR="00B23CF6">
        <w:t xml:space="preserve">NW can configure UE to report which type of predicted measurement results. We understand the predicted measurement result on last timing instance is used to evaluate the prediction accuracy during the simulation. In practice, it may be useless if UE only report the predicted measurement result on last timing instance. Because the single prediction result can’t reflect the radio condition of other timing instances. </w:t>
      </w:r>
      <w:r w:rsidR="00B23CF6">
        <w:lastRenderedPageBreak/>
        <w:t xml:space="preserve">Therefore, we propose to support average and individual predicted measurement results within PW in measurement report. </w:t>
      </w:r>
    </w:p>
    <w:p w14:paraId="4DF87D4E" w14:textId="2AD928D4" w:rsidR="002D41FD" w:rsidRDefault="002D41FD" w:rsidP="002D41FD">
      <w:pPr>
        <w:spacing w:beforeLines="50" w:before="120"/>
        <w:rPr>
          <w:b/>
          <w:szCs w:val="22"/>
        </w:rPr>
      </w:pPr>
      <w:r>
        <w:rPr>
          <w:rFonts w:hint="eastAsia"/>
          <w:b/>
          <w:szCs w:val="22"/>
        </w:rPr>
        <w:t>P</w:t>
      </w:r>
      <w:r>
        <w:rPr>
          <w:b/>
          <w:szCs w:val="22"/>
        </w:rPr>
        <w:t xml:space="preserve">roposal </w:t>
      </w:r>
      <w:r w:rsidR="00956449">
        <w:rPr>
          <w:b/>
          <w:szCs w:val="22"/>
        </w:rPr>
        <w:t>9</w:t>
      </w:r>
      <w:r>
        <w:rPr>
          <w:b/>
          <w:szCs w:val="22"/>
        </w:rPr>
        <w:t xml:space="preserve">: For temporal case A, following inference result can be reported </w:t>
      </w:r>
      <w:r w:rsidR="00B23CF6">
        <w:rPr>
          <w:b/>
          <w:szCs w:val="22"/>
        </w:rPr>
        <w:t>based on</w:t>
      </w:r>
      <w:r>
        <w:rPr>
          <w:b/>
          <w:szCs w:val="22"/>
        </w:rPr>
        <w:t xml:space="preserve"> NW</w:t>
      </w:r>
      <w:r w:rsidR="00B23CF6">
        <w:rPr>
          <w:b/>
          <w:szCs w:val="22"/>
        </w:rPr>
        <w:t xml:space="preserve"> configuration</w:t>
      </w:r>
      <w:r>
        <w:rPr>
          <w:b/>
          <w:szCs w:val="22"/>
        </w:rPr>
        <w:t>:</w:t>
      </w:r>
    </w:p>
    <w:p w14:paraId="50EC048F" w14:textId="06B172D9" w:rsidR="002D41FD" w:rsidRPr="000842E8" w:rsidRDefault="002D41FD" w:rsidP="002D41FD">
      <w:pPr>
        <w:pStyle w:val="af6"/>
        <w:numPr>
          <w:ilvl w:val="0"/>
          <w:numId w:val="29"/>
        </w:numPr>
        <w:spacing w:beforeLines="50" w:before="120"/>
        <w:ind w:firstLineChars="0"/>
        <w:rPr>
          <w:b/>
          <w:sz w:val="22"/>
          <w:szCs w:val="22"/>
        </w:rPr>
      </w:pPr>
      <w:r w:rsidRPr="000842E8">
        <w:rPr>
          <w:b/>
          <w:sz w:val="22"/>
          <w:szCs w:val="22"/>
        </w:rPr>
        <w:t>predicted measurement result on each timing instance</w:t>
      </w:r>
      <w:r>
        <w:rPr>
          <w:b/>
          <w:sz w:val="22"/>
          <w:szCs w:val="22"/>
        </w:rPr>
        <w:t xml:space="preserve"> within PW</w:t>
      </w:r>
    </w:p>
    <w:p w14:paraId="0E289476" w14:textId="6CA28DB0" w:rsidR="00F8535A" w:rsidRPr="00184E60" w:rsidRDefault="002D41FD" w:rsidP="00604784">
      <w:pPr>
        <w:pStyle w:val="af6"/>
        <w:numPr>
          <w:ilvl w:val="0"/>
          <w:numId w:val="29"/>
        </w:numPr>
        <w:spacing w:beforeLines="50" w:before="120"/>
        <w:ind w:firstLineChars="0"/>
        <w:rPr>
          <w:b/>
        </w:rPr>
      </w:pPr>
      <w:r w:rsidRPr="00B23CF6">
        <w:rPr>
          <w:rFonts w:eastAsiaTheme="minorEastAsia" w:hint="eastAsia"/>
          <w:b/>
          <w:sz w:val="22"/>
          <w:szCs w:val="22"/>
          <w:lang w:eastAsia="zh-CN"/>
        </w:rPr>
        <w:t>a</w:t>
      </w:r>
      <w:r w:rsidRPr="00B23CF6">
        <w:rPr>
          <w:rFonts w:eastAsiaTheme="minorEastAsia"/>
          <w:b/>
          <w:sz w:val="22"/>
          <w:szCs w:val="22"/>
          <w:lang w:eastAsia="zh-CN"/>
        </w:rPr>
        <w:t>verage of predicted measurement results within PW</w:t>
      </w:r>
    </w:p>
    <w:p w14:paraId="33228FC6" w14:textId="323DBAF3" w:rsidR="00184E60" w:rsidRDefault="00184E60" w:rsidP="00184E60">
      <w:pPr>
        <w:spacing w:beforeLines="50" w:before="120"/>
      </w:pPr>
      <w:r>
        <w:t>For temporal case B</w:t>
      </w:r>
      <w:r w:rsidR="00892755">
        <w:t xml:space="preserve"> and inter-frequency prediction</w:t>
      </w:r>
      <w:r>
        <w:t xml:space="preserve">, UE can skip actual measurement and obtain the measurement result by AI. </w:t>
      </w:r>
      <w:r w:rsidR="00892755">
        <w:t xml:space="preserve">If performance monitoring is not activated, UE can only obtain one type of measurement result, either </w:t>
      </w:r>
      <w:r w:rsidR="00956449">
        <w:t>measured or predicted. Therefore, t</w:t>
      </w:r>
      <w:r>
        <w:t xml:space="preserve">he </w:t>
      </w:r>
      <w:r w:rsidRPr="00865E54">
        <w:t>inference report include</w:t>
      </w:r>
      <w:r w:rsidR="00956449">
        <w:t>s</w:t>
      </w:r>
      <w:r w:rsidRPr="00865E54">
        <w:t xml:space="preserve"> the latest measurement results (regardless of actual results or predicted results)</w:t>
      </w:r>
      <w:r>
        <w:t xml:space="preserve">. </w:t>
      </w:r>
      <w:r w:rsidR="00956449">
        <w:t>No need to further indicate whether the measurement result is measured or predicted.</w:t>
      </w:r>
    </w:p>
    <w:p w14:paraId="6E60469F" w14:textId="5B39F5B2" w:rsidR="00184E60" w:rsidRPr="00184E60" w:rsidRDefault="00184E60" w:rsidP="00184E60">
      <w:pPr>
        <w:spacing w:beforeLines="50" w:before="120"/>
        <w:rPr>
          <w:b/>
        </w:rPr>
      </w:pPr>
      <w:r>
        <w:rPr>
          <w:rFonts w:hint="eastAsia"/>
          <w:b/>
        </w:rPr>
        <w:t>P</w:t>
      </w:r>
      <w:r>
        <w:rPr>
          <w:b/>
        </w:rPr>
        <w:t xml:space="preserve">roposal </w:t>
      </w:r>
      <w:r w:rsidR="00956449">
        <w:rPr>
          <w:b/>
        </w:rPr>
        <w:t>10</w:t>
      </w:r>
      <w:r>
        <w:rPr>
          <w:b/>
        </w:rPr>
        <w:t>: For temporal case B and inter-frequency prediction, the latest measurement results are reported, regardless of actual results or predicted results.</w:t>
      </w:r>
    </w:p>
    <w:p w14:paraId="629ED8E6" w14:textId="5B218FA5" w:rsidR="00BB4105" w:rsidRDefault="00BB4105" w:rsidP="00BB4105">
      <w:pPr>
        <w:pStyle w:val="2"/>
        <w:rPr>
          <w:lang w:eastAsia="zh-CN"/>
        </w:rPr>
      </w:pPr>
      <w:r>
        <w:rPr>
          <w:rFonts w:hint="eastAsia"/>
          <w:lang w:eastAsia="zh-CN"/>
        </w:rPr>
        <w:t>I</w:t>
      </w:r>
      <w:r>
        <w:rPr>
          <w:lang w:eastAsia="zh-CN"/>
        </w:rPr>
        <w:t>nference control</w:t>
      </w:r>
    </w:p>
    <w:p w14:paraId="1C0D5F8C" w14:textId="147BF4EF" w:rsidR="00B707B8" w:rsidRDefault="00EE6E46" w:rsidP="00B707B8">
      <w:r>
        <w:t>During SI, i</w:t>
      </w:r>
      <w:r w:rsidR="00B707B8">
        <w:t xml:space="preserve">t’s </w:t>
      </w:r>
      <w:r>
        <w:t>open</w:t>
      </w:r>
      <w:r w:rsidR="00B707B8">
        <w:t xml:space="preserve"> when the UE should perform inference in AI mobility. Unlike BM, for case A/event prediction, the inference result is expected to improve handover performance. The handover usually occurs at cell edge. The inference result is useless and consumes UE power in cell centre, since handover is not about to occur. But NW may provide the inference configuration before UE moves to cell edge. Therefore, UE shall not be required to perform inference immediately after receiving the inference configuration. Alternatively, the UE can perform inference only when handover is about to occur at cell edge. UE can determine whether it’s at cell edge based on radio event (A2, A3, A5 alike event), which can be configured by NW.</w:t>
      </w:r>
    </w:p>
    <w:p w14:paraId="48174112" w14:textId="21EF8B66" w:rsidR="00B707B8" w:rsidRDefault="00B707B8" w:rsidP="00B707B8">
      <w:pPr>
        <w:rPr>
          <w:b/>
        </w:rPr>
      </w:pPr>
      <w:r>
        <w:rPr>
          <w:b/>
        </w:rPr>
        <w:t>Proposal 1</w:t>
      </w:r>
      <w:r w:rsidR="00956449">
        <w:rPr>
          <w:b/>
        </w:rPr>
        <w:t>1</w:t>
      </w:r>
      <w:r>
        <w:rPr>
          <w:b/>
        </w:rPr>
        <w:t xml:space="preserve">: </w:t>
      </w:r>
      <w:r w:rsidR="005E5871">
        <w:rPr>
          <w:b/>
        </w:rPr>
        <w:t xml:space="preserve">For temporal case A, </w:t>
      </w:r>
      <w:r w:rsidR="00093804">
        <w:rPr>
          <w:b/>
        </w:rPr>
        <w:t xml:space="preserve">NW can configure the radio condition </w:t>
      </w:r>
      <w:r w:rsidR="00644A29">
        <w:rPr>
          <w:b/>
        </w:rPr>
        <w:t>for</w:t>
      </w:r>
      <w:r w:rsidR="00093804">
        <w:rPr>
          <w:b/>
        </w:rPr>
        <w:t xml:space="preserve"> inference. </w:t>
      </w:r>
      <w:r w:rsidRPr="00C76456">
        <w:rPr>
          <w:b/>
        </w:rPr>
        <w:t xml:space="preserve">UE </w:t>
      </w:r>
      <w:r w:rsidR="00644A29">
        <w:rPr>
          <w:b/>
        </w:rPr>
        <w:t xml:space="preserve">is not required to </w:t>
      </w:r>
      <w:r>
        <w:rPr>
          <w:b/>
        </w:rPr>
        <w:t>perform</w:t>
      </w:r>
      <w:r w:rsidRPr="00C76456">
        <w:rPr>
          <w:b/>
        </w:rPr>
        <w:t xml:space="preserve"> </w:t>
      </w:r>
      <w:r>
        <w:rPr>
          <w:b/>
        </w:rPr>
        <w:t>inference</w:t>
      </w:r>
      <w:r w:rsidRPr="00C76456">
        <w:rPr>
          <w:b/>
        </w:rPr>
        <w:t xml:space="preserve"> </w:t>
      </w:r>
      <w:r w:rsidR="00644A29">
        <w:rPr>
          <w:b/>
        </w:rPr>
        <w:t xml:space="preserve">if the </w:t>
      </w:r>
      <w:r>
        <w:rPr>
          <w:b/>
        </w:rPr>
        <w:t>radio</w:t>
      </w:r>
      <w:r w:rsidRPr="00C76456">
        <w:rPr>
          <w:b/>
        </w:rPr>
        <w:t xml:space="preserve"> event </w:t>
      </w:r>
      <w:r w:rsidR="00644A29">
        <w:rPr>
          <w:b/>
        </w:rPr>
        <w:t xml:space="preserve">is not </w:t>
      </w:r>
      <w:r>
        <w:rPr>
          <w:b/>
        </w:rPr>
        <w:t>fulfilled</w:t>
      </w:r>
      <w:r w:rsidR="00644A29">
        <w:rPr>
          <w:b/>
        </w:rPr>
        <w:t>.</w:t>
      </w:r>
    </w:p>
    <w:p w14:paraId="243E0D43" w14:textId="18328FF7" w:rsidR="00BB4105" w:rsidRDefault="00BB4105" w:rsidP="00BB4105">
      <w:pPr>
        <w:pStyle w:val="2"/>
        <w:rPr>
          <w:lang w:eastAsia="zh-CN"/>
        </w:rPr>
      </w:pPr>
      <w:r>
        <w:rPr>
          <w:rFonts w:hint="eastAsia"/>
          <w:lang w:eastAsia="zh-CN"/>
        </w:rPr>
        <w:t>C</w:t>
      </w:r>
      <w:r>
        <w:rPr>
          <w:lang w:eastAsia="zh-CN"/>
        </w:rPr>
        <w:t>apability</w:t>
      </w:r>
    </w:p>
    <w:p w14:paraId="43DD9E6D" w14:textId="082ADF47" w:rsidR="000963DF" w:rsidRPr="00956449" w:rsidRDefault="00956449" w:rsidP="00956449">
      <w:r>
        <w:t xml:space="preserve">Temporal prediction and inter-frequency prediction require different training data and AI models. Separate capabilities should be introduced. For temporal case a and case b, the training data and AI models can be similar. However, the inference report content and the inference control are different, according to above discussion. Therefore, separate capabilities are also preferred to indicate the support of temporal case A and case B. </w:t>
      </w:r>
    </w:p>
    <w:p w14:paraId="3514131F" w14:textId="0959B884" w:rsidR="00C862A5" w:rsidRPr="00956449" w:rsidRDefault="00956449" w:rsidP="00BC73DB">
      <w:pPr>
        <w:rPr>
          <w:b/>
        </w:rPr>
      </w:pPr>
      <w:r w:rsidRPr="00956449">
        <w:rPr>
          <w:rFonts w:hint="eastAsia"/>
          <w:b/>
        </w:rPr>
        <w:t>P</w:t>
      </w:r>
      <w:r w:rsidRPr="00956449">
        <w:rPr>
          <w:b/>
        </w:rPr>
        <w:t xml:space="preserve">roposal </w:t>
      </w:r>
      <w:r>
        <w:rPr>
          <w:b/>
        </w:rPr>
        <w:t>12</w:t>
      </w:r>
      <w:r w:rsidRPr="00956449">
        <w:rPr>
          <w:b/>
        </w:rPr>
        <w:t>:</w:t>
      </w:r>
      <w:r>
        <w:rPr>
          <w:b/>
        </w:rPr>
        <w:t xml:space="preserve"> Separate capabilities are introduced to indicate the support of temporal case A, temporal case B and inter-frequency prediction.</w:t>
      </w: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3F41DE46" w14:textId="48ACA593" w:rsidR="006F18E3" w:rsidRPr="006F18E3" w:rsidRDefault="00364AA7" w:rsidP="006F18E3">
      <w:pPr>
        <w:spacing w:afterLines="50" w:line="240" w:lineRule="auto"/>
        <w:jc w:val="left"/>
        <w:rPr>
          <w:b/>
        </w:rPr>
      </w:pPr>
      <w:r w:rsidRPr="00127997">
        <w:t>According to the analysis given above, we have the following observations and proposals:</w:t>
      </w:r>
    </w:p>
    <w:p w14:paraId="545311AE" w14:textId="020B26EF" w:rsidR="006F18E3" w:rsidRDefault="00956449" w:rsidP="006F18E3">
      <w:pPr>
        <w:spacing w:beforeLines="100" w:before="240" w:afterLines="100" w:after="240" w:line="240" w:lineRule="auto"/>
        <w:jc w:val="left"/>
        <w:rPr>
          <w:i/>
          <w:u w:val="single"/>
        </w:rPr>
      </w:pPr>
      <w:r>
        <w:rPr>
          <w:i/>
          <w:u w:val="single"/>
        </w:rPr>
        <w:t>Applicability report</w:t>
      </w:r>
    </w:p>
    <w:p w14:paraId="5E2DB082" w14:textId="77777777" w:rsidR="00956449" w:rsidRPr="001F4C19" w:rsidRDefault="00956449" w:rsidP="00956449">
      <w:pPr>
        <w:spacing w:beforeLines="100" w:before="240" w:line="240" w:lineRule="atLeast"/>
        <w:rPr>
          <w:b/>
        </w:rPr>
      </w:pPr>
      <w:r w:rsidRPr="001F4C19">
        <w:rPr>
          <w:rFonts w:hint="eastAsia"/>
          <w:b/>
        </w:rPr>
        <w:t>P</w:t>
      </w:r>
      <w:r w:rsidRPr="001F4C19">
        <w:rPr>
          <w:b/>
        </w:rPr>
        <w:t>roposal 1: Apply following agreements from AI air for AI mobility</w:t>
      </w:r>
      <w:r>
        <w:rPr>
          <w:b/>
        </w:rPr>
        <w:t>, except case b)</w:t>
      </w:r>
      <w:r w:rsidRPr="001F4C19">
        <w:rPr>
          <w:b/>
        </w:rPr>
        <w:t>,</w:t>
      </w:r>
    </w:p>
    <w:p w14:paraId="19D95C84" w14:textId="77777777" w:rsidR="00956449" w:rsidRPr="001F4C19" w:rsidRDefault="00956449" w:rsidP="00956449">
      <w:pPr>
        <w:spacing w:beforeLines="100" w:before="240" w:line="240" w:lineRule="atLeast"/>
        <w:ind w:left="420" w:hanging="420"/>
        <w:rPr>
          <w:b/>
        </w:rPr>
      </w:pPr>
      <w:r w:rsidRPr="001F4C19">
        <w:rPr>
          <w:b/>
        </w:rPr>
        <w:t>-</w:t>
      </w:r>
      <w:r w:rsidRPr="001F4C19">
        <w:rPr>
          <w:b/>
        </w:rPr>
        <w:tab/>
        <w:t>Associated IDs shall be unique within a PLMN in that they can only be associated with one same/similar mobility deployment.</w:t>
      </w:r>
    </w:p>
    <w:p w14:paraId="42BEECE6" w14:textId="77777777" w:rsidR="00956449" w:rsidRPr="001F4C19" w:rsidRDefault="00956449" w:rsidP="00956449">
      <w:pPr>
        <w:spacing w:beforeLines="100" w:before="240" w:line="240" w:lineRule="atLeast"/>
        <w:ind w:left="420" w:hanging="420"/>
        <w:rPr>
          <w:b/>
        </w:rPr>
      </w:pPr>
      <w:r w:rsidRPr="001F4C19">
        <w:rPr>
          <w:b/>
        </w:rPr>
        <w:lastRenderedPageBreak/>
        <w:t>-</w:t>
      </w:r>
      <w:r w:rsidRPr="001F4C19">
        <w:rPr>
          <w:b/>
        </w:rPr>
        <w:tab/>
        <w:t>The Associated ID is 24 bits.</w:t>
      </w:r>
    </w:p>
    <w:p w14:paraId="31930F31" w14:textId="77777777" w:rsidR="00956449" w:rsidRDefault="00956449" w:rsidP="00956449">
      <w:pPr>
        <w:spacing w:beforeLines="100" w:before="240" w:line="240" w:lineRule="atLeast"/>
        <w:ind w:left="420" w:hanging="420"/>
        <w:rPr>
          <w:b/>
        </w:rPr>
      </w:pPr>
      <w:r w:rsidRPr="001F4C19">
        <w:rPr>
          <w:b/>
        </w:rPr>
        <w:t>-</w:t>
      </w:r>
      <w:r w:rsidRPr="001F4C19">
        <w:rPr>
          <w:b/>
        </w:rPr>
        <w:tab/>
        <w:t>If the network does not provide the associated ID, it is up to UE implementation how to determine the applicability.</w:t>
      </w:r>
    </w:p>
    <w:p w14:paraId="71BAAA42" w14:textId="77777777" w:rsidR="00956449" w:rsidRPr="00621981" w:rsidRDefault="00956449" w:rsidP="00956449">
      <w:pPr>
        <w:spacing w:beforeLines="100" w:before="240" w:line="240" w:lineRule="atLeast"/>
        <w:ind w:left="420" w:hanging="420"/>
        <w:rPr>
          <w:b/>
        </w:rPr>
      </w:pPr>
      <w:r w:rsidRPr="00621981">
        <w:rPr>
          <w:b/>
        </w:rPr>
        <w:t>-</w:t>
      </w:r>
      <w:r w:rsidRPr="00621981">
        <w:rPr>
          <w:b/>
        </w:rPr>
        <w:tab/>
      </w:r>
      <w:proofErr w:type="spellStart"/>
      <w:r w:rsidRPr="00621981">
        <w:rPr>
          <w:b/>
        </w:rPr>
        <w:t>RRCReconfigurationComplete</w:t>
      </w:r>
      <w:proofErr w:type="spellEnd"/>
      <w:r w:rsidRPr="00621981">
        <w:rPr>
          <w:b/>
        </w:rPr>
        <w:t xml:space="preserve"> shall include applicability/inapplicability status for:</w:t>
      </w:r>
    </w:p>
    <w:p w14:paraId="21228F8E" w14:textId="77777777" w:rsidR="00956449" w:rsidRPr="00621981" w:rsidRDefault="00956449" w:rsidP="00956449">
      <w:pPr>
        <w:spacing w:beforeLines="100" w:before="240" w:line="240" w:lineRule="atLeast"/>
        <w:ind w:left="420" w:hanging="420"/>
        <w:rPr>
          <w:b/>
        </w:rPr>
      </w:pPr>
      <w:r w:rsidRPr="00621981">
        <w:rPr>
          <w:b/>
        </w:rPr>
        <w:tab/>
        <w:t>a)</w:t>
      </w:r>
      <w:r w:rsidRPr="00621981">
        <w:rPr>
          <w:b/>
        </w:rPr>
        <w:tab/>
        <w:t xml:space="preserve">All inference configurations included in the immediately preceding </w:t>
      </w:r>
      <w:proofErr w:type="spellStart"/>
      <w:r w:rsidRPr="00621981">
        <w:rPr>
          <w:b/>
        </w:rPr>
        <w:t>RRCReconfiguration</w:t>
      </w:r>
      <w:proofErr w:type="spellEnd"/>
      <w:r w:rsidRPr="00621981">
        <w:rPr>
          <w:b/>
        </w:rPr>
        <w:t xml:space="preserve"> message, and</w:t>
      </w:r>
    </w:p>
    <w:p w14:paraId="45E9EB84" w14:textId="77777777" w:rsidR="00956449" w:rsidRPr="00621981" w:rsidRDefault="00956449" w:rsidP="00956449">
      <w:pPr>
        <w:spacing w:beforeLines="100" w:before="240" w:line="240" w:lineRule="atLeast"/>
        <w:ind w:left="420" w:hanging="420"/>
        <w:rPr>
          <w:b/>
        </w:rPr>
      </w:pPr>
      <w:r w:rsidRPr="00621981">
        <w:rPr>
          <w:b/>
        </w:rPr>
        <w:tab/>
      </w:r>
      <w:r>
        <w:rPr>
          <w:b/>
        </w:rPr>
        <w:t xml:space="preserve">FFS: case b) </w:t>
      </w:r>
      <w:r w:rsidRPr="00621981">
        <w:rPr>
          <w:b/>
        </w:rPr>
        <w:t>Any previously configured inference configurations for which applicability/inapplicability has already been reported and whose applicability status has changed since the last report.</w:t>
      </w:r>
    </w:p>
    <w:p w14:paraId="39FCF1E2" w14:textId="77777777" w:rsidR="00956449" w:rsidRPr="001F4C19" w:rsidRDefault="00956449" w:rsidP="00956449">
      <w:pPr>
        <w:spacing w:beforeLines="100" w:before="240" w:line="240" w:lineRule="atLeast"/>
        <w:ind w:left="420" w:hanging="420"/>
        <w:rPr>
          <w:b/>
        </w:rPr>
      </w:pPr>
      <w:r w:rsidRPr="001F4C19">
        <w:rPr>
          <w:b/>
        </w:rPr>
        <w:t>-</w:t>
      </w:r>
      <w:r w:rsidRPr="001F4C19">
        <w:rPr>
          <w:b/>
        </w:rPr>
        <w:tab/>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p w14:paraId="37D83728" w14:textId="77777777" w:rsidR="00956449" w:rsidRPr="00712E42" w:rsidRDefault="00956449" w:rsidP="00956449">
      <w:pPr>
        <w:ind w:left="442" w:hangingChars="200" w:hanging="442"/>
        <w:rPr>
          <w:b/>
        </w:rPr>
      </w:pPr>
      <w:r w:rsidRPr="00712E42">
        <w:rPr>
          <w:b/>
        </w:rPr>
        <w:t xml:space="preserve">Proposal 2: </w:t>
      </w:r>
      <w:r>
        <w:rPr>
          <w:b/>
        </w:rPr>
        <w:t>N</w:t>
      </w:r>
      <w:r w:rsidRPr="00712E42">
        <w:rPr>
          <w:b/>
        </w:rPr>
        <w:t xml:space="preserve">eighbour cell’s associated ID </w:t>
      </w:r>
      <w:r>
        <w:rPr>
          <w:b/>
        </w:rPr>
        <w:t xml:space="preserve">can be provided </w:t>
      </w:r>
      <w:r w:rsidRPr="00712E42">
        <w:rPr>
          <w:b/>
        </w:rPr>
        <w:t>to UE for applicability checking and data collection.</w:t>
      </w:r>
    </w:p>
    <w:p w14:paraId="7CC8BB04" w14:textId="77777777" w:rsidR="00956449" w:rsidRDefault="00956449" w:rsidP="00956449">
      <w:pPr>
        <w:rPr>
          <w:b/>
        </w:rPr>
      </w:pPr>
      <w:r>
        <w:rPr>
          <w:b/>
        </w:rPr>
        <w:t>Proposal 3: The associated ID can be provided per cell/multiple cells/frequency.</w:t>
      </w:r>
    </w:p>
    <w:p w14:paraId="7721C2A3" w14:textId="3612DB7E" w:rsidR="00956449" w:rsidRDefault="00956449" w:rsidP="006F18E3">
      <w:pPr>
        <w:spacing w:beforeLines="100" w:before="240" w:afterLines="100" w:after="240" w:line="240" w:lineRule="auto"/>
        <w:jc w:val="left"/>
        <w:rPr>
          <w:i/>
          <w:u w:val="single"/>
        </w:rPr>
      </w:pPr>
      <w:r>
        <w:rPr>
          <w:i/>
          <w:u w:val="single"/>
        </w:rPr>
        <w:t>Inference configuration</w:t>
      </w:r>
    </w:p>
    <w:p w14:paraId="7DB5D1AA" w14:textId="77777777" w:rsidR="009D0678" w:rsidRDefault="009D0678" w:rsidP="00956449">
      <w:pPr>
        <w:ind w:left="442" w:hangingChars="200" w:hanging="442"/>
        <w:rPr>
          <w:b/>
        </w:rPr>
      </w:pPr>
      <w:r w:rsidRPr="009D0678">
        <w:rPr>
          <w:b/>
        </w:rPr>
        <w:t xml:space="preserve">Proposal 4: The predicted cell/frequency is indicted by </w:t>
      </w:r>
      <w:proofErr w:type="spellStart"/>
      <w:r w:rsidRPr="009D0678">
        <w:rPr>
          <w:b/>
        </w:rPr>
        <w:t>MeasObjectNR</w:t>
      </w:r>
      <w:proofErr w:type="spellEnd"/>
      <w:r w:rsidRPr="009D0678">
        <w:rPr>
          <w:b/>
        </w:rPr>
        <w:t xml:space="preserve"> in all RRM measurement prediction use cases, i.e. temporal case a, temporal case b and inter-frequency prediction.</w:t>
      </w:r>
    </w:p>
    <w:p w14:paraId="18BC7AF2" w14:textId="59C88C28" w:rsidR="00956449" w:rsidRPr="00956449" w:rsidRDefault="00956449" w:rsidP="00956449">
      <w:pPr>
        <w:ind w:left="442" w:hangingChars="200" w:hanging="442"/>
        <w:rPr>
          <w:b/>
        </w:rPr>
      </w:pPr>
      <w:r w:rsidRPr="00B707B8">
        <w:rPr>
          <w:b/>
        </w:rPr>
        <w:t xml:space="preserve">Proposal </w:t>
      </w:r>
      <w:r>
        <w:rPr>
          <w:b/>
        </w:rPr>
        <w:t>5</w:t>
      </w:r>
      <w:r w:rsidRPr="00B707B8">
        <w:rPr>
          <w:b/>
        </w:rPr>
        <w:t xml:space="preserve">: </w:t>
      </w:r>
      <w:r>
        <w:rPr>
          <w:b/>
        </w:rPr>
        <w:t>F</w:t>
      </w:r>
      <w:r w:rsidRPr="00B707B8">
        <w:rPr>
          <w:b/>
        </w:rPr>
        <w:t xml:space="preserve">or </w:t>
      </w:r>
      <w:r>
        <w:rPr>
          <w:b/>
        </w:rPr>
        <w:t xml:space="preserve">temporal </w:t>
      </w:r>
      <w:r w:rsidRPr="00B707B8">
        <w:rPr>
          <w:b/>
        </w:rPr>
        <w:t>case A</w:t>
      </w:r>
      <w:r>
        <w:rPr>
          <w:b/>
        </w:rPr>
        <w:t>, PW length</w:t>
      </w:r>
      <w:r w:rsidRPr="00B707B8">
        <w:rPr>
          <w:b/>
        </w:rPr>
        <w:t xml:space="preserve"> </w:t>
      </w:r>
      <w:r>
        <w:rPr>
          <w:b/>
        </w:rPr>
        <w:t>is</w:t>
      </w:r>
      <w:r w:rsidRPr="00B707B8">
        <w:rPr>
          <w:b/>
        </w:rPr>
        <w:t xml:space="preserve"> </w:t>
      </w:r>
      <w:r>
        <w:rPr>
          <w:b/>
        </w:rPr>
        <w:t>configured by NW as part of inference configuration</w:t>
      </w:r>
      <w:r w:rsidRPr="00B707B8">
        <w:rPr>
          <w:b/>
        </w:rPr>
        <w:t>.</w:t>
      </w:r>
    </w:p>
    <w:p w14:paraId="11C54EF0" w14:textId="77777777" w:rsidR="00956449" w:rsidRPr="003732B2" w:rsidRDefault="00956449" w:rsidP="00956449">
      <w:pPr>
        <w:ind w:left="442" w:hangingChars="200" w:hanging="442"/>
        <w:rPr>
          <w:b/>
        </w:rPr>
      </w:pPr>
      <w:r w:rsidRPr="003732B2">
        <w:rPr>
          <w:rFonts w:hint="eastAsia"/>
          <w:b/>
        </w:rPr>
        <w:t>P</w:t>
      </w:r>
      <w:r w:rsidRPr="003732B2">
        <w:rPr>
          <w:b/>
        </w:rPr>
        <w:t xml:space="preserve">roposal 6: </w:t>
      </w:r>
      <w:r>
        <w:rPr>
          <w:b/>
        </w:rPr>
        <w:t>For temporal case B, skipping pattern is not configured by NW and left to UE implementation.</w:t>
      </w:r>
    </w:p>
    <w:p w14:paraId="5972096E" w14:textId="138677AF" w:rsidR="00956449" w:rsidRPr="00DF6885" w:rsidRDefault="00956449" w:rsidP="00956449">
      <w:pPr>
        <w:ind w:left="442" w:hangingChars="200" w:hanging="442"/>
        <w:rPr>
          <w:b/>
        </w:rPr>
      </w:pPr>
      <w:r w:rsidRPr="00DF6885">
        <w:rPr>
          <w:b/>
        </w:rPr>
        <w:t xml:space="preserve">Proposal 7: For inter-frequency prediction, </w:t>
      </w:r>
      <w:r w:rsidR="00D55CB3" w:rsidRPr="00DF6885">
        <w:rPr>
          <w:b/>
        </w:rPr>
        <w:t>the measured frequency(s)</w:t>
      </w:r>
      <w:r w:rsidR="00D55CB3">
        <w:rPr>
          <w:b/>
        </w:rPr>
        <w:t xml:space="preserve"> is not configured by NW and </w:t>
      </w:r>
      <w:r w:rsidRPr="00DF6885">
        <w:rPr>
          <w:b/>
        </w:rPr>
        <w:t>it’s up to UE implementation to decide the measured frequency(s), based on the predicted frequency(s) configured by NW.</w:t>
      </w:r>
    </w:p>
    <w:p w14:paraId="555F18C0" w14:textId="16D455EC" w:rsidR="00956449" w:rsidRDefault="00956449" w:rsidP="006F18E3">
      <w:pPr>
        <w:spacing w:beforeLines="100" w:before="240" w:afterLines="100" w:after="240" w:line="240" w:lineRule="auto"/>
        <w:jc w:val="left"/>
        <w:rPr>
          <w:i/>
          <w:u w:val="single"/>
        </w:rPr>
      </w:pPr>
      <w:r>
        <w:rPr>
          <w:rFonts w:hint="eastAsia"/>
          <w:i/>
          <w:u w:val="single"/>
        </w:rPr>
        <w:t>I</w:t>
      </w:r>
      <w:r>
        <w:rPr>
          <w:i/>
          <w:u w:val="single"/>
        </w:rPr>
        <w:t>nference report</w:t>
      </w:r>
    </w:p>
    <w:p w14:paraId="3AFB7719" w14:textId="77777777" w:rsidR="00956449" w:rsidRDefault="00956449" w:rsidP="00956449">
      <w:pPr>
        <w:rPr>
          <w:b/>
        </w:rPr>
      </w:pPr>
      <w:r>
        <w:rPr>
          <w:rFonts w:hint="eastAsia"/>
          <w:b/>
        </w:rPr>
        <w:t>P</w:t>
      </w:r>
      <w:r>
        <w:rPr>
          <w:b/>
        </w:rPr>
        <w:t>roposal 8: Legacy measurement report trigger can be reused.</w:t>
      </w:r>
    </w:p>
    <w:p w14:paraId="5C14C36F" w14:textId="77777777" w:rsidR="00956449" w:rsidRDefault="00956449" w:rsidP="00956449">
      <w:pPr>
        <w:spacing w:beforeLines="50" w:before="120"/>
        <w:rPr>
          <w:b/>
          <w:szCs w:val="22"/>
        </w:rPr>
      </w:pPr>
      <w:r>
        <w:rPr>
          <w:rFonts w:hint="eastAsia"/>
          <w:b/>
          <w:szCs w:val="22"/>
        </w:rPr>
        <w:t>P</w:t>
      </w:r>
      <w:r>
        <w:rPr>
          <w:b/>
          <w:szCs w:val="22"/>
        </w:rPr>
        <w:t>roposal 9: For temporal case A, following inference result can be reported based on NW configuration:</w:t>
      </w:r>
    </w:p>
    <w:p w14:paraId="239A72DC" w14:textId="77777777" w:rsidR="00956449" w:rsidRPr="000842E8" w:rsidRDefault="00956449" w:rsidP="00956449">
      <w:pPr>
        <w:pStyle w:val="af6"/>
        <w:numPr>
          <w:ilvl w:val="0"/>
          <w:numId w:val="29"/>
        </w:numPr>
        <w:spacing w:beforeLines="50" w:before="120"/>
        <w:ind w:firstLineChars="0"/>
        <w:rPr>
          <w:b/>
          <w:sz w:val="22"/>
          <w:szCs w:val="22"/>
        </w:rPr>
      </w:pPr>
      <w:r w:rsidRPr="000842E8">
        <w:rPr>
          <w:b/>
          <w:sz w:val="22"/>
          <w:szCs w:val="22"/>
        </w:rPr>
        <w:t>predicted measurement result on each timing instance</w:t>
      </w:r>
      <w:r>
        <w:rPr>
          <w:b/>
          <w:sz w:val="22"/>
          <w:szCs w:val="22"/>
        </w:rPr>
        <w:t xml:space="preserve"> within PW</w:t>
      </w:r>
    </w:p>
    <w:p w14:paraId="77352D39" w14:textId="77777777" w:rsidR="00956449" w:rsidRPr="00184E60" w:rsidRDefault="00956449" w:rsidP="00956449">
      <w:pPr>
        <w:pStyle w:val="af6"/>
        <w:numPr>
          <w:ilvl w:val="0"/>
          <w:numId w:val="29"/>
        </w:numPr>
        <w:spacing w:beforeLines="50" w:before="120"/>
        <w:ind w:firstLineChars="0"/>
        <w:rPr>
          <w:b/>
        </w:rPr>
      </w:pPr>
      <w:r w:rsidRPr="00B23CF6">
        <w:rPr>
          <w:rFonts w:eastAsiaTheme="minorEastAsia" w:hint="eastAsia"/>
          <w:b/>
          <w:sz w:val="22"/>
          <w:szCs w:val="22"/>
          <w:lang w:eastAsia="zh-CN"/>
        </w:rPr>
        <w:t>a</w:t>
      </w:r>
      <w:r w:rsidRPr="00B23CF6">
        <w:rPr>
          <w:rFonts w:eastAsiaTheme="minorEastAsia"/>
          <w:b/>
          <w:sz w:val="22"/>
          <w:szCs w:val="22"/>
          <w:lang w:eastAsia="zh-CN"/>
        </w:rPr>
        <w:t>verage of predicted measurement results within PW</w:t>
      </w:r>
    </w:p>
    <w:p w14:paraId="4E14D29A" w14:textId="3F24CD8B" w:rsidR="00956449" w:rsidRDefault="00956449" w:rsidP="00D55CB3">
      <w:pPr>
        <w:spacing w:beforeLines="100" w:before="240"/>
        <w:ind w:left="442" w:hangingChars="200" w:hanging="442"/>
        <w:rPr>
          <w:b/>
        </w:rPr>
      </w:pPr>
      <w:r>
        <w:rPr>
          <w:rFonts w:hint="eastAsia"/>
          <w:b/>
        </w:rPr>
        <w:t>P</w:t>
      </w:r>
      <w:r>
        <w:rPr>
          <w:b/>
        </w:rPr>
        <w:t>roposal 10: For temporal case B and inter-frequency prediction, the latest measurement results are reported, regardless of actual results or predicted results.</w:t>
      </w:r>
    </w:p>
    <w:p w14:paraId="7C1F4C4E" w14:textId="7B53F0DC" w:rsidR="005E5871" w:rsidRPr="005E5871" w:rsidRDefault="005E5871" w:rsidP="005E5871">
      <w:pPr>
        <w:spacing w:beforeLines="100" w:before="240" w:afterLines="100" w:after="240" w:line="240" w:lineRule="auto"/>
        <w:jc w:val="left"/>
        <w:rPr>
          <w:i/>
          <w:u w:val="single"/>
        </w:rPr>
      </w:pPr>
      <w:r>
        <w:rPr>
          <w:rFonts w:hint="eastAsia"/>
          <w:i/>
          <w:u w:val="single"/>
        </w:rPr>
        <w:t>I</w:t>
      </w:r>
      <w:r>
        <w:rPr>
          <w:i/>
          <w:u w:val="single"/>
        </w:rPr>
        <w:t>nference control</w:t>
      </w:r>
    </w:p>
    <w:p w14:paraId="6EEB9DBA" w14:textId="77777777" w:rsidR="00D55CB3" w:rsidRDefault="00D55CB3" w:rsidP="00D55CB3">
      <w:pPr>
        <w:ind w:left="442" w:hangingChars="200" w:hanging="442"/>
        <w:rPr>
          <w:b/>
        </w:rPr>
      </w:pPr>
      <w:r w:rsidRPr="00D55CB3">
        <w:rPr>
          <w:b/>
        </w:rPr>
        <w:t>Proposal 11: For temporal case A, NW can configure the radio condition for inference. UE is not required to perform inference if the radio event is not fulfilled.</w:t>
      </w:r>
    </w:p>
    <w:p w14:paraId="0767477A" w14:textId="255CA9D2" w:rsidR="00956449" w:rsidRDefault="00956449" w:rsidP="006F18E3">
      <w:pPr>
        <w:spacing w:beforeLines="100" w:before="240" w:afterLines="100" w:after="240" w:line="240" w:lineRule="auto"/>
        <w:jc w:val="left"/>
        <w:rPr>
          <w:i/>
          <w:u w:val="single"/>
        </w:rPr>
      </w:pPr>
      <w:r>
        <w:rPr>
          <w:i/>
          <w:u w:val="single"/>
        </w:rPr>
        <w:t>Capability</w:t>
      </w:r>
    </w:p>
    <w:p w14:paraId="5615F2D2" w14:textId="0D3A5023" w:rsidR="00A04AE9" w:rsidRPr="00A04AE9" w:rsidRDefault="00956449" w:rsidP="00956449">
      <w:pPr>
        <w:ind w:left="442" w:hangingChars="200" w:hanging="442"/>
      </w:pPr>
      <w:r w:rsidRPr="00956449">
        <w:rPr>
          <w:rFonts w:hint="eastAsia"/>
          <w:b/>
        </w:rPr>
        <w:lastRenderedPageBreak/>
        <w:t>P</w:t>
      </w:r>
      <w:r w:rsidRPr="00956449">
        <w:rPr>
          <w:b/>
        </w:rPr>
        <w:t xml:space="preserve">roposal </w:t>
      </w:r>
      <w:r>
        <w:rPr>
          <w:b/>
        </w:rPr>
        <w:t>12</w:t>
      </w:r>
      <w:r w:rsidRPr="00956449">
        <w:rPr>
          <w:b/>
        </w:rPr>
        <w:t>:</w:t>
      </w:r>
      <w:r>
        <w:rPr>
          <w:b/>
        </w:rPr>
        <w:t xml:space="preserve"> Separate capabilities are introduced to indicate the support of temporal case A, temporal case B and inter-frequency prediction.</w:t>
      </w: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2" w:name="_Toc502437832"/>
      <w:r w:rsidRPr="00127997">
        <w:rPr>
          <w:rFonts w:ascii="Times New Roman" w:hAnsi="Times New Roman"/>
        </w:rPr>
        <w:t>Reference</w:t>
      </w:r>
    </w:p>
    <w:bookmarkEnd w:id="2"/>
    <w:p w14:paraId="6FDCB4AF" w14:textId="77777777" w:rsidR="00D64208" w:rsidRDefault="00ED69FF" w:rsidP="008D7FBA">
      <w:pPr>
        <w:pStyle w:val="Doc-title"/>
        <w:ind w:left="0" w:firstLine="0"/>
        <w:rPr>
          <w:rFonts w:ascii="Times New Roman" w:hAnsi="Times New Roman"/>
          <w:sz w:val="22"/>
        </w:rPr>
      </w:pPr>
      <w:r w:rsidRPr="00127997">
        <w:rPr>
          <w:rFonts w:ascii="Times New Roman" w:hAnsi="Times New Roman"/>
          <w:sz w:val="22"/>
        </w:rPr>
        <w:t xml:space="preserve">[1] </w:t>
      </w:r>
      <w:r w:rsidR="00D64208" w:rsidRPr="008D7FBA">
        <w:rPr>
          <w:rFonts w:ascii="Times New Roman" w:eastAsiaTheme="minorEastAsia" w:hAnsi="Times New Roman"/>
          <w:sz w:val="22"/>
          <w:lang w:eastAsia="zh-CN"/>
        </w:rPr>
        <w:t>RP-2</w:t>
      </w:r>
      <w:r w:rsidR="00D64208">
        <w:rPr>
          <w:rFonts w:ascii="Times New Roman" w:eastAsiaTheme="minorEastAsia" w:hAnsi="Times New Roman"/>
          <w:sz w:val="22"/>
          <w:lang w:eastAsia="zh-CN"/>
        </w:rPr>
        <w:t>52899</w:t>
      </w:r>
      <w:r w:rsidR="00D64208" w:rsidRPr="00D64208">
        <w:t xml:space="preserve"> </w:t>
      </w:r>
      <w:r w:rsidR="00D64208" w:rsidRPr="00D64208">
        <w:rPr>
          <w:rFonts w:ascii="Times New Roman" w:eastAsiaTheme="minorEastAsia" w:hAnsi="Times New Roman"/>
          <w:sz w:val="22"/>
          <w:lang w:eastAsia="zh-CN"/>
        </w:rPr>
        <w:t>Revised WI: Artificial Intelligence (AI)/Machine Learning (ML) for mobility in NR</w:t>
      </w:r>
      <w:r w:rsidR="00D64208" w:rsidRPr="008E78B6">
        <w:rPr>
          <w:rFonts w:ascii="Times New Roman" w:hAnsi="Times New Roman"/>
          <w:sz w:val="22"/>
        </w:rPr>
        <w:t xml:space="preserve"> </w:t>
      </w:r>
    </w:p>
    <w:p w14:paraId="68F47805" w14:textId="016DF692" w:rsidR="00DC6321" w:rsidRPr="00D64208" w:rsidRDefault="00D64208" w:rsidP="008D7FBA">
      <w:pPr>
        <w:pStyle w:val="Doc-title"/>
        <w:ind w:left="0" w:firstLine="0"/>
        <w:rPr>
          <w:rFonts w:ascii="Times New Roman" w:hAnsi="Times New Roman"/>
          <w:sz w:val="22"/>
        </w:rPr>
      </w:pPr>
      <w:r>
        <w:rPr>
          <w:rFonts w:ascii="Times New Roman" w:hAnsi="Times New Roman"/>
          <w:sz w:val="22"/>
        </w:rPr>
        <w:t xml:space="preserve">[2] </w:t>
      </w:r>
      <w:r w:rsidR="008E78B6" w:rsidRPr="008E78B6">
        <w:rPr>
          <w:rFonts w:ascii="Times New Roman" w:hAnsi="Times New Roman"/>
          <w:sz w:val="22"/>
        </w:rPr>
        <w:t>TR 3</w:t>
      </w:r>
      <w:r w:rsidR="0072349F">
        <w:rPr>
          <w:rFonts w:ascii="Times New Roman" w:hAnsi="Times New Roman"/>
          <w:sz w:val="22"/>
        </w:rPr>
        <w:t>8.843</w:t>
      </w: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46C4" w16cex:dateUtc="2025-05-08T07: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61816" w14:textId="77777777" w:rsidR="001529EA" w:rsidRDefault="001529EA">
      <w:pPr>
        <w:spacing w:after="0" w:line="240" w:lineRule="auto"/>
      </w:pPr>
      <w:r>
        <w:separator/>
      </w:r>
    </w:p>
  </w:endnote>
  <w:endnote w:type="continuationSeparator" w:id="0">
    <w:p w14:paraId="24C96166" w14:textId="77777777" w:rsidR="001529EA" w:rsidRDefault="00152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4F952" w14:textId="77777777" w:rsidR="001529EA" w:rsidRDefault="001529EA">
      <w:pPr>
        <w:spacing w:after="0" w:line="240" w:lineRule="auto"/>
      </w:pPr>
      <w:r>
        <w:separator/>
      </w:r>
    </w:p>
  </w:footnote>
  <w:footnote w:type="continuationSeparator" w:id="0">
    <w:p w14:paraId="3D383BB1" w14:textId="77777777" w:rsidR="001529EA" w:rsidRDefault="001529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3"/>
  </w:num>
  <w:num w:numId="4">
    <w:abstractNumId w:val="9"/>
  </w:num>
  <w:num w:numId="5">
    <w:abstractNumId w:val="0"/>
  </w:num>
  <w:num w:numId="6">
    <w:abstractNumId w:val="12"/>
  </w:num>
  <w:num w:numId="7">
    <w:abstractNumId w:val="1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13"/>
  </w:num>
  <w:num w:numId="13">
    <w:abstractNumId w:val="0"/>
  </w:num>
  <w:num w:numId="14">
    <w:abstractNumId w:val="17"/>
  </w:num>
  <w:num w:numId="15">
    <w:abstractNumId w:val="1"/>
  </w:num>
  <w:num w:numId="16">
    <w:abstractNumId w:val="2"/>
  </w:num>
  <w:num w:numId="17">
    <w:abstractNumId w:val="14"/>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4"/>
  </w:num>
  <w:num w:numId="29">
    <w:abstractNumId w:val="16"/>
  </w:num>
  <w:num w:numId="30">
    <w:abstractNumId w:val="0"/>
  </w:num>
  <w:num w:numId="31">
    <w:abstractNumId w:val="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num>
  <w:num w:numId="35">
    <w:abstractNumId w:val="5"/>
  </w:num>
  <w:num w:numId="36">
    <w:abstractNumId w:val="7"/>
  </w:num>
  <w:num w:numId="37">
    <w:abstractNumId w:val="0"/>
  </w:num>
  <w:num w:numId="38">
    <w:abstractNumId w:val="0"/>
  </w:num>
  <w:num w:numId="39">
    <w:abstractNumId w:val="0"/>
  </w:num>
  <w:num w:numId="40">
    <w:abstractNumId w:val="0"/>
  </w:num>
  <w:num w:numId="41">
    <w:abstractNumId w:val="0"/>
  </w:num>
  <w:num w:numId="42">
    <w:abstractNumId w:val="0"/>
  </w:num>
  <w:num w:numId="43">
    <w:abstractNumId w:val="8"/>
  </w:num>
  <w:num w:numId="44">
    <w:abstractNumId w:val="0"/>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EFC85-F006-4954-A855-4F4929B2D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2622</Words>
  <Characters>14949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3</cp:revision>
  <cp:lastPrinted>2018-04-04T09:40:00Z</cp:lastPrinted>
  <dcterms:created xsi:type="dcterms:W3CDTF">2025-11-07T02:58:00Z</dcterms:created>
  <dcterms:modified xsi:type="dcterms:W3CDTF">2025-11-07T03:02:00Z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ies>
</file>